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205B88">
      <w:pPr>
        <w:spacing w:line="600" w:lineRule="exact"/>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58B6EF27">
      <w:pPr>
        <w:spacing w:line="600" w:lineRule="exact"/>
        <w:jc w:val="center"/>
        <w:rPr>
          <w:rFonts w:hint="eastAsia" w:ascii="方正小标宋简体" w:hAnsi="方正小标宋简体" w:eastAsia="方正小标宋简体" w:cs="方正小标宋简体"/>
          <w:sz w:val="44"/>
          <w:szCs w:val="44"/>
        </w:rPr>
      </w:pPr>
    </w:p>
    <w:p w14:paraId="773403D1">
      <w:pPr>
        <w:spacing w:line="600" w:lineRule="exact"/>
        <w:jc w:val="center"/>
        <w:rPr>
          <w:rFonts w:ascii="黑体" w:hAnsi="黑体" w:eastAsia="黑体"/>
          <w:b/>
          <w:bCs/>
          <w:color w:val="FF0000"/>
          <w:sz w:val="44"/>
          <w:szCs w:val="44"/>
        </w:rPr>
      </w:pPr>
      <w:r>
        <w:rPr>
          <w:rFonts w:hint="eastAsia" w:ascii="方正小标宋简体" w:hAnsi="方正小标宋简体" w:eastAsia="方正小标宋简体" w:cs="方正小标宋简体"/>
          <w:sz w:val="44"/>
          <w:szCs w:val="44"/>
        </w:rPr>
        <w:t>石家庄市房屋建筑工程质量保险实施细则</w:t>
      </w:r>
    </w:p>
    <w:p w14:paraId="4D7C4BD7">
      <w:pPr>
        <w:spacing w:line="600" w:lineRule="exact"/>
        <w:jc w:val="center"/>
        <w:rPr>
          <w:rFonts w:hint="eastAsia" w:ascii="黑体" w:hAnsi="黑体" w:eastAsia="黑体"/>
          <w:color w:val="000000" w:themeColor="text1"/>
          <w:sz w:val="32"/>
          <w:szCs w:val="32"/>
          <w:lang w:eastAsia="zh-CN"/>
          <w14:textFill>
            <w14:solidFill>
              <w14:schemeClr w14:val="tx1"/>
            </w14:solidFill>
          </w14:textFill>
        </w:rPr>
      </w:pPr>
      <w:r>
        <w:rPr>
          <w:rFonts w:hint="eastAsia" w:ascii="黑体" w:hAnsi="黑体" w:eastAsia="黑体"/>
          <w:color w:val="000000" w:themeColor="text1"/>
          <w:sz w:val="32"/>
          <w:szCs w:val="32"/>
          <w:lang w:eastAsia="zh-CN"/>
          <w14:textFill>
            <w14:solidFill>
              <w14:schemeClr w14:val="tx1"/>
            </w14:solidFill>
          </w14:textFill>
        </w:rPr>
        <w:t>（</w:t>
      </w:r>
      <w:r>
        <w:rPr>
          <w:rFonts w:hint="eastAsia" w:ascii="黑体" w:hAnsi="黑体" w:eastAsia="黑体"/>
          <w:color w:val="000000" w:themeColor="text1"/>
          <w:sz w:val="32"/>
          <w:szCs w:val="32"/>
          <w:lang w:val="en-US" w:eastAsia="zh-CN"/>
          <w14:textFill>
            <w14:solidFill>
              <w14:schemeClr w14:val="tx1"/>
            </w14:solidFill>
          </w14:textFill>
        </w:rPr>
        <w:t>征求意见稿</w:t>
      </w:r>
      <w:r>
        <w:rPr>
          <w:rFonts w:hint="eastAsia" w:ascii="黑体" w:hAnsi="黑体" w:eastAsia="黑体"/>
          <w:color w:val="000000" w:themeColor="text1"/>
          <w:sz w:val="32"/>
          <w:szCs w:val="32"/>
          <w:lang w:eastAsia="zh-CN"/>
          <w14:textFill>
            <w14:solidFill>
              <w14:schemeClr w14:val="tx1"/>
            </w14:solidFill>
          </w14:textFill>
        </w:rPr>
        <w:t>）</w:t>
      </w:r>
    </w:p>
    <w:p w14:paraId="6A951EFB">
      <w:pPr>
        <w:spacing w:line="600" w:lineRule="exact"/>
        <w:jc w:val="cente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第一章 总则</w:t>
      </w:r>
    </w:p>
    <w:p w14:paraId="3C731B9D">
      <w:pPr>
        <w:spacing w:line="600" w:lineRule="exact"/>
        <w:ind w:firstLine="643" w:firstLineChars="200"/>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eastAsia="仿宋_GB2312"/>
          <w:b/>
          <w:bCs/>
          <w:color w:val="000000" w:themeColor="text1"/>
          <w:sz w:val="32"/>
          <w:szCs w:val="32"/>
          <w14:textFill>
            <w14:solidFill>
              <w14:schemeClr w14:val="tx1"/>
            </w14:solidFill>
          </w14:textFill>
        </w:rPr>
        <w:t>第一条</w:t>
      </w:r>
      <w:r>
        <w:rPr>
          <w:rFonts w:hint="eastAsia" w:ascii="仿宋_GB2312" w:eastAsia="仿宋_GB2312"/>
          <w:color w:val="000000" w:themeColor="text1"/>
          <w:sz w:val="32"/>
          <w:szCs w:val="32"/>
          <w14:textFill>
            <w14:solidFill>
              <w14:schemeClr w14:val="tx1"/>
            </w14:solidFill>
          </w14:textFill>
        </w:rPr>
        <w:t xml:space="preserve"> 为进一</w:t>
      </w:r>
      <w:bookmarkStart w:id="3" w:name="_GoBack"/>
      <w:bookmarkEnd w:id="3"/>
      <w:r>
        <w:rPr>
          <w:rFonts w:hint="eastAsia" w:ascii="仿宋_GB2312" w:eastAsia="仿宋_GB2312"/>
          <w:color w:val="000000" w:themeColor="text1"/>
          <w:sz w:val="32"/>
          <w:szCs w:val="32"/>
          <w14:textFill>
            <w14:solidFill>
              <w14:schemeClr w14:val="tx1"/>
            </w14:solidFill>
          </w14:textFill>
        </w:rPr>
        <w:t>步完善我市房屋建筑质量保障体系，建立健全工程质量风险分担机制，根据</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住房和城乡建设部、财政部《关于印发建设工程质量保证金管理办法的通知》（建质〔2017〕138号）、河北省住房和城乡建设厅《关于开展建设工程质量保险试点工作的通知》（冀建质安函〔2023〕539号）等文件</w:t>
      </w:r>
      <w:r>
        <w:rPr>
          <w:rFonts w:hint="eastAsia" w:ascii="仿宋_GB2312" w:hAnsi="仿宋_GB2312" w:eastAsia="仿宋_GB2312" w:cs="仿宋_GB2312"/>
          <w:kern w:val="0"/>
          <w:sz w:val="32"/>
          <w:szCs w:val="32"/>
          <w:lang w:bidi="ar"/>
        </w:rPr>
        <w:t>精神以</w:t>
      </w:r>
      <w:r>
        <w:rPr>
          <w:rFonts w:ascii="仿宋_GB2312" w:hAnsi="仿宋_GB2312" w:eastAsia="仿宋_GB2312" w:cs="仿宋_GB2312"/>
          <w:kern w:val="0"/>
          <w:sz w:val="32"/>
          <w:szCs w:val="32"/>
          <w:lang w:bidi="ar"/>
        </w:rPr>
        <w:t>及相关法律法规</w:t>
      </w:r>
      <w:r>
        <w:rPr>
          <w:rFonts w:hint="eastAsia" w:ascii="仿宋_GB2312" w:hAnsi="仿宋_GB2312" w:eastAsia="仿宋_GB2312" w:cs="仿宋_GB2312"/>
          <w:kern w:val="0"/>
          <w:sz w:val="32"/>
          <w:szCs w:val="32"/>
          <w:lang w:bidi="ar"/>
        </w:rPr>
        <w:t>，借鉴北京、上海、广州等作为建设工程质量保险先行先试城市的实践经验，结合我市房屋建筑工程质量管理实际，制定《石家庄市房屋建筑工程质量保险实施细则》，以下简称《细则》。</w:t>
      </w:r>
    </w:p>
    <w:p w14:paraId="6EC4029B">
      <w:pPr>
        <w:spacing w:line="600" w:lineRule="exact"/>
        <w:ind w:firstLine="643" w:firstLineChars="200"/>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bidi="ar"/>
          <w14:textFill>
            <w14:solidFill>
              <w14:schemeClr w14:val="tx1"/>
            </w14:solidFill>
          </w14:textFill>
        </w:rPr>
        <w:t xml:space="preserve">第二条 </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本</w:t>
      </w:r>
      <w:r>
        <w:rPr>
          <w:rFonts w:hint="eastAsia" w:ascii="仿宋_GB2312" w:hAnsi="仿宋_GB2312" w:eastAsia="仿宋_GB2312" w:cs="仿宋_GB2312"/>
          <w:kern w:val="0"/>
          <w:sz w:val="32"/>
          <w:szCs w:val="32"/>
          <w:lang w:bidi="ar"/>
        </w:rPr>
        <w:t>《细则》</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所称房屋建筑工程质量保险，包括建设工程质量保证保险和建筑工程质量潜在缺陷保险。</w:t>
      </w:r>
    </w:p>
    <w:p w14:paraId="14F46517">
      <w:pPr>
        <w:spacing w:line="600" w:lineRule="exact"/>
        <w:ind w:firstLine="640" w:firstLineChars="200"/>
        <w:rPr>
          <w:rFonts w:ascii="仿宋_GB2312" w:hAnsi="宋体" w:eastAsia="仿宋_GB2312"/>
          <w:b/>
          <w:bCs/>
          <w:color w:val="FF0000"/>
          <w:sz w:val="36"/>
          <w:szCs w:val="36"/>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建设工程质量保证保险：保障在</w:t>
      </w:r>
      <w:r>
        <w:rPr>
          <w:rFonts w:hint="eastAsia" w:ascii="仿宋_GB2312" w:hAnsi="仿宋_GB2312" w:eastAsia="仿宋_GB2312" w:cs="仿宋_GB2312"/>
          <w:color w:val="000000" w:themeColor="text1"/>
          <w:sz w:val="32"/>
          <w:szCs w:val="32"/>
          <w14:textFill>
            <w14:solidFill>
              <w14:schemeClr w14:val="tx1"/>
            </w14:solidFill>
          </w14:textFill>
        </w:rPr>
        <w:t>缺陷责任期内</w:t>
      </w:r>
      <w:r>
        <w:rPr>
          <w:rFonts w:hint="eastAsia" w:ascii="仿宋_GB2312" w:hAnsi="仿宋_GB2312" w:eastAsia="仿宋_GB2312" w:cs="仿宋_GB2312"/>
          <w:sz w:val="32"/>
          <w:szCs w:val="32"/>
        </w:rPr>
        <w:t>(不</w:t>
      </w:r>
      <w:r>
        <w:rPr>
          <w:rFonts w:ascii="仿宋_GB2312" w:hAnsi="仿宋_GB2312" w:eastAsia="仿宋_GB2312" w:cs="仿宋_GB2312"/>
          <w:sz w:val="32"/>
          <w:szCs w:val="32"/>
        </w:rPr>
        <w:t>超</w:t>
      </w:r>
      <w:r>
        <w:rPr>
          <w:rFonts w:hint="eastAsia" w:ascii="仿宋_GB2312" w:hAnsi="仿宋_GB2312" w:eastAsia="仿宋_GB2312" w:cs="仿宋_GB2312"/>
          <w:sz w:val="32"/>
          <w:szCs w:val="32"/>
        </w:rPr>
        <w:t>2年)，</w:t>
      </w:r>
      <w:r>
        <w:rPr>
          <w:rFonts w:hint="eastAsia" w:ascii="仿宋_GB2312" w:hAnsi="宋体" w:eastAsia="仿宋_GB2312"/>
          <w:color w:val="000000" w:themeColor="text1"/>
          <w:sz w:val="32"/>
          <w:szCs w:val="32"/>
          <w14:textFill>
            <w14:solidFill>
              <w14:schemeClr w14:val="tx1"/>
            </w14:solidFill>
          </w14:textFill>
        </w:rPr>
        <w:t>施工单位（投保人）未按合同约定履行质量缺陷维修义务，给建设单位（被保险人）造成的直接经济损失，</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由</w:t>
      </w:r>
      <w:r>
        <w:rPr>
          <w:rFonts w:hint="eastAsia" w:ascii="仿宋_GB2312" w:hAnsi="宋体" w:eastAsia="仿宋_GB2312"/>
          <w:color w:val="000000" w:themeColor="text1"/>
          <w:sz w:val="32"/>
          <w:szCs w:val="32"/>
          <w14:textFill>
            <w14:solidFill>
              <w14:schemeClr w14:val="tx1"/>
            </w14:solidFill>
          </w14:textFill>
        </w:rPr>
        <w:t>保险人</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履行赔偿义务的保险</w:t>
      </w:r>
      <w:r>
        <w:rPr>
          <w:rFonts w:hint="eastAsia" w:ascii="仿宋_GB2312" w:hAnsi="宋体" w:eastAsia="仿宋_GB2312"/>
          <w:color w:val="000000" w:themeColor="text1"/>
          <w:sz w:val="32"/>
          <w:szCs w:val="32"/>
          <w14:textFill>
            <w14:solidFill>
              <w14:schemeClr w14:val="tx1"/>
            </w14:solidFill>
          </w14:textFill>
        </w:rPr>
        <w:t>。</w:t>
      </w:r>
    </w:p>
    <w:p w14:paraId="50C04637">
      <w:pPr>
        <w:spacing w:line="600" w:lineRule="exact"/>
        <w:ind w:firstLine="640" w:firstLineChars="200"/>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 xml:space="preserve">建筑工程质量潜在缺陷保险（以下简称“潜在缺陷保险”）:由建设单位投保，在保险责任期间内，因竣工验收时未能发现的工程质量潜在缺陷，导致投保建筑物损坏，由保险人向所有权人（受益人）履行赔偿义务的保险。 </w:t>
      </w:r>
    </w:p>
    <w:p w14:paraId="4381D50E">
      <w:pPr>
        <w:spacing w:line="600" w:lineRule="exact"/>
        <w:ind w:firstLine="640" w:firstLineChars="200"/>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工程质量潜在缺陷，是指工程在竣工验收时未能发现的，因勘察、设计、施工、监理、检测及建筑材料、建筑构配件和设备等原因造成的不符合工程建设标准、施工图设计文件或合同要求，并在使用过程中暴露的质量缺陷。</w:t>
      </w:r>
    </w:p>
    <w:p w14:paraId="29531C96">
      <w:pPr>
        <w:spacing w:line="600" w:lineRule="exact"/>
        <w:ind w:firstLine="640" w:firstLineChars="200"/>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房屋建筑工程的所有权人，为工程质量保险合同的受益人和合法索赔权益人。</w:t>
      </w:r>
    </w:p>
    <w:p w14:paraId="7C12FD30">
      <w:pPr>
        <w:pStyle w:val="3"/>
        <w:spacing w:line="600" w:lineRule="exact"/>
        <w:ind w:firstLine="643" w:firstLineChars="200"/>
        <w:rPr>
          <w:rFonts w:ascii="仿宋_GB2312" w:eastAsia="仿宋_GB2312" w:cstheme="minorBidi"/>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bidi="ar"/>
          <w14:textFill>
            <w14:solidFill>
              <w14:schemeClr w14:val="tx1"/>
            </w14:solidFill>
          </w14:textFill>
        </w:rPr>
        <w:t>第三条</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 xml:space="preserve"> 鼓励施工单位投保建设工程质量保证保险。</w:t>
      </w:r>
      <w:r>
        <w:rPr>
          <w:rFonts w:hint="eastAsia" w:ascii="仿宋_GB2312" w:eastAsia="仿宋_GB2312" w:cstheme="minorBidi"/>
          <w:color w:val="000000" w:themeColor="text1"/>
          <w:sz w:val="32"/>
          <w:szCs w:val="32"/>
          <w14:textFill>
            <w14:solidFill>
              <w14:schemeClr w14:val="tx1"/>
            </w14:solidFill>
          </w14:textFill>
        </w:rPr>
        <w:t>根据</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住房和城乡</w:t>
      </w:r>
      <w:r>
        <w:rPr>
          <w:rFonts w:hint="eastAsia" w:ascii="仿宋_GB2312" w:hAnsi="仿宋_GB2312" w:eastAsia="仿宋_GB2312" w:cs="仿宋_GB2312"/>
          <w:kern w:val="0"/>
          <w:sz w:val="32"/>
          <w:szCs w:val="32"/>
          <w:lang w:bidi="ar"/>
        </w:rPr>
        <w:t>建设部、财政部《关于印发建设工程质量保证金管理办法的通知》（</w:t>
      </w:r>
      <w:r>
        <w:rPr>
          <w:rFonts w:ascii="仿宋_GB2312" w:eastAsia="仿宋_GB2312" w:cstheme="minorBidi"/>
          <w:sz w:val="32"/>
          <w:szCs w:val="32"/>
        </w:rPr>
        <w:t>建质</w:t>
      </w:r>
      <w:r>
        <w:rPr>
          <w:rFonts w:hint="eastAsia" w:ascii="仿宋_GB2312" w:hAnsi="仿宋_GB2312" w:eastAsia="仿宋_GB2312" w:cs="仿宋_GB2312"/>
          <w:kern w:val="0"/>
          <w:sz w:val="32"/>
          <w:szCs w:val="32"/>
          <w:lang w:bidi="ar"/>
        </w:rPr>
        <w:t>〔2017〕138号）第</w:t>
      </w:r>
      <w:r>
        <w:rPr>
          <w:rFonts w:ascii="仿宋_GB2312" w:hAnsi="仿宋_GB2312" w:eastAsia="仿宋_GB2312" w:cs="仿宋_GB2312"/>
          <w:kern w:val="0"/>
          <w:sz w:val="32"/>
          <w:szCs w:val="32"/>
          <w:lang w:bidi="ar"/>
        </w:rPr>
        <w:t>六条规定</w:t>
      </w:r>
      <w:r>
        <w:rPr>
          <w:rFonts w:hint="eastAsia" w:ascii="仿宋_GB2312" w:eastAsia="仿宋_GB2312" w:cstheme="minorBidi"/>
          <w:sz w:val="32"/>
          <w:szCs w:val="32"/>
        </w:rPr>
        <w:t>，施工单位投保建设工程质量保证保险的，</w:t>
      </w:r>
      <w:r>
        <w:rPr>
          <w:rFonts w:hint="eastAsia" w:ascii="仿宋_GB2312" w:eastAsia="仿宋_GB2312" w:cstheme="minorBidi"/>
          <w:color w:val="000000" w:themeColor="text1"/>
          <w:sz w:val="32"/>
          <w:szCs w:val="32"/>
          <w14:textFill>
            <w14:solidFill>
              <w14:schemeClr w14:val="tx1"/>
            </w14:solidFill>
          </w14:textFill>
        </w:rPr>
        <w:t>建设单位不得再预留工程质量保证金。</w:t>
      </w:r>
    </w:p>
    <w:p w14:paraId="3D570F5A">
      <w:pPr>
        <w:pStyle w:val="3"/>
        <w:spacing w:line="600" w:lineRule="exact"/>
        <w:ind w:firstLine="643" w:firstLineChars="200"/>
        <w:rPr>
          <w:rFonts w:ascii="仿宋_GB2312" w:eastAsia="仿宋_GB2312" w:cstheme="minorBidi"/>
          <w:sz w:val="32"/>
          <w:szCs w:val="32"/>
        </w:rPr>
      </w:pPr>
      <w:r>
        <w:rPr>
          <w:rFonts w:hint="eastAsia" w:ascii="仿宋_GB2312" w:eastAsia="仿宋_GB2312" w:cstheme="minorBidi"/>
          <w:b/>
          <w:bCs/>
          <w:color w:val="000000" w:themeColor="text1"/>
          <w:sz w:val="32"/>
          <w:szCs w:val="32"/>
          <w14:textFill>
            <w14:solidFill>
              <w14:schemeClr w14:val="tx1"/>
            </w14:solidFill>
          </w14:textFill>
        </w:rPr>
        <w:t>第四条</w:t>
      </w:r>
      <w:r>
        <w:rPr>
          <w:rFonts w:hint="eastAsia" w:ascii="仿宋_GB2312" w:eastAsia="仿宋_GB2312" w:cstheme="minorBidi"/>
          <w:color w:val="000000" w:themeColor="text1"/>
          <w:sz w:val="32"/>
          <w:szCs w:val="32"/>
          <w14:textFill>
            <w14:solidFill>
              <w14:schemeClr w14:val="tx1"/>
            </w14:solidFill>
          </w14:textFill>
        </w:rPr>
        <w:t xml:space="preserve"> 本市</w:t>
      </w:r>
      <w:r>
        <w:rPr>
          <w:rFonts w:hint="eastAsia" w:ascii="仿宋_GB2312" w:eastAsia="仿宋_GB2312" w:cstheme="minorBidi"/>
          <w:sz w:val="32"/>
          <w:szCs w:val="32"/>
        </w:rPr>
        <w:t>国有土地</w:t>
      </w:r>
      <w:r>
        <w:rPr>
          <w:rFonts w:hint="eastAsia" w:ascii="仿宋_GB2312" w:eastAsia="仿宋_GB2312" w:cstheme="minorBidi"/>
          <w:color w:val="000000" w:themeColor="text1"/>
          <w:sz w:val="32"/>
          <w:szCs w:val="32"/>
          <w14:textFill>
            <w14:solidFill>
              <w14:schemeClr w14:val="tx1"/>
            </w14:solidFill>
          </w14:textFill>
        </w:rPr>
        <w:t>行政区域内从事新建、改建、扩建的房屋建筑工程应投保</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潜在缺陷保险。</w:t>
      </w:r>
      <w:r>
        <w:rPr>
          <w:rFonts w:hint="eastAsia" w:ascii="仿宋_GB2312" w:hAnsi="仿宋_GB2312" w:eastAsia="仿宋_GB2312" w:cs="仿宋_GB2312"/>
          <w:kern w:val="0"/>
          <w:sz w:val="32"/>
          <w:szCs w:val="32"/>
          <w:lang w:bidi="ar"/>
        </w:rPr>
        <w:t>建设、勘察、设计、施工、监理、检测、风险管理机构、保险机构以及住房和城乡建设监督管理单位，应严格遵照本办法规定，农村</w:t>
      </w:r>
      <w:r>
        <w:rPr>
          <w:rFonts w:ascii="仿宋_GB2312" w:hAnsi="仿宋_GB2312" w:eastAsia="仿宋_GB2312" w:cs="仿宋_GB2312"/>
          <w:kern w:val="0"/>
          <w:sz w:val="32"/>
          <w:szCs w:val="32"/>
          <w:lang w:bidi="ar"/>
        </w:rPr>
        <w:t>自建房不纳入本办法承保</w:t>
      </w:r>
      <w:r>
        <w:rPr>
          <w:rFonts w:hint="eastAsia" w:ascii="仿宋_GB2312" w:hAnsi="仿宋_GB2312" w:eastAsia="仿宋_GB2312" w:cs="仿宋_GB2312"/>
          <w:kern w:val="0"/>
          <w:sz w:val="32"/>
          <w:szCs w:val="32"/>
          <w:lang w:bidi="ar"/>
        </w:rPr>
        <w:t>范围。</w:t>
      </w:r>
    </w:p>
    <w:p w14:paraId="0AEAA0C6">
      <w:pPr>
        <w:spacing w:line="600" w:lineRule="exact"/>
        <w:jc w:val="cente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第二章 保险责任和范围</w:t>
      </w:r>
    </w:p>
    <w:p w14:paraId="5A07B7A5">
      <w:pPr>
        <w:pStyle w:val="8"/>
        <w:spacing w:line="600" w:lineRule="exact"/>
        <w:ind w:firstLine="643"/>
        <w:rPr>
          <w:rFonts w:ascii="仿宋_GB2312" w:hAnsi="宋体" w:eastAsia="仿宋_GB2312"/>
          <w:color w:val="000000" w:themeColor="text1"/>
          <w:sz w:val="32"/>
          <w:szCs w:val="32"/>
          <w14:textFill>
            <w14:solidFill>
              <w14:schemeClr w14:val="tx1"/>
            </w14:solidFill>
          </w14:textFill>
        </w:rPr>
      </w:pPr>
      <w:r>
        <w:rPr>
          <w:rFonts w:hint="eastAsia" w:ascii="仿宋_GB2312" w:eastAsia="仿宋_GB2312"/>
          <w:b/>
          <w:bCs/>
          <w:color w:val="000000" w:themeColor="text1"/>
          <w:sz w:val="32"/>
          <w:szCs w:val="32"/>
          <w14:textFill>
            <w14:solidFill>
              <w14:schemeClr w14:val="tx1"/>
            </w14:solidFill>
          </w14:textFill>
        </w:rPr>
        <w:t>第五条</w:t>
      </w:r>
      <w:r>
        <w:rPr>
          <w:rFonts w:hint="eastAsia" w:ascii="仿宋_GB2312" w:eastAsia="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建设工程质量保证保险责任：</w:t>
      </w:r>
      <w:r>
        <w:rPr>
          <w:rFonts w:hint="eastAsia" w:ascii="仿宋_GB2312" w:hAnsi="宋体" w:eastAsia="仿宋_GB2312"/>
          <w:color w:val="000000" w:themeColor="text1"/>
          <w:sz w:val="32"/>
          <w:szCs w:val="32"/>
          <w14:textFill>
            <w14:solidFill>
              <w14:schemeClr w14:val="tx1"/>
            </w14:solidFill>
          </w14:textFill>
        </w:rPr>
        <w:t>在保险期间内，投保人未按照与被保险人签订的建设工程施工合同有关约定履行建设工程质量缺陷维修义务给被保险人造成直接经济损失的，视为保险事故发生。保险人依据本保险合同的约定，向被保险人承担赔偿责任。</w:t>
      </w:r>
    </w:p>
    <w:p w14:paraId="6610F04A">
      <w:pPr>
        <w:pStyle w:val="8"/>
        <w:spacing w:line="600" w:lineRule="exact"/>
        <w:ind w:firstLine="643"/>
        <w:rPr>
          <w:rFonts w:ascii="仿宋_GB2312" w:hAnsi="宋体" w:eastAsia="仿宋_GB2312"/>
          <w:color w:val="000000" w:themeColor="text1"/>
          <w:sz w:val="32"/>
          <w:szCs w:val="32"/>
          <w14:textFill>
            <w14:solidFill>
              <w14:schemeClr w14:val="tx1"/>
            </w14:solidFill>
          </w14:textFill>
        </w:rPr>
      </w:pPr>
      <w:r>
        <w:rPr>
          <w:rFonts w:hint="eastAsia" w:ascii="仿宋_GB2312" w:eastAsia="仿宋_GB2312"/>
          <w:b/>
          <w:bCs/>
          <w:color w:val="000000" w:themeColor="text1"/>
          <w:sz w:val="32"/>
          <w:szCs w:val="32"/>
          <w14:textFill>
            <w14:solidFill>
              <w14:schemeClr w14:val="tx1"/>
            </w14:solidFill>
          </w14:textFill>
        </w:rPr>
        <w:t>第六条</w:t>
      </w:r>
      <w:r>
        <w:rPr>
          <w:rFonts w:hint="eastAsia" w:ascii="仿宋_GB2312" w:eastAsia="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潜在缺陷保险责任：</w:t>
      </w:r>
      <w:r>
        <w:rPr>
          <w:rFonts w:hint="eastAsia" w:ascii="仿宋_GB2312" w:hAnsi="宋体" w:eastAsia="仿宋_GB2312"/>
          <w:color w:val="000000" w:themeColor="text1"/>
          <w:sz w:val="32"/>
          <w:szCs w:val="32"/>
          <w14:textFill>
            <w14:solidFill>
              <w14:schemeClr w14:val="tx1"/>
            </w14:solidFill>
          </w14:textFill>
        </w:rPr>
        <w:t>保险单载明的建设工程竣工验收合格，并经保险人委托的工程质量风险管理机构检查通过的，在正常使用条件下，在保险责任期间内，因潜在缺陷发生下列情形，造成建设工程的损坏，由被保险人或其他赔偿权利人在保险期间内首次向保险人提出索赔申请，保险人按照本保险合同的约定负责赔偿修理、加固或重置的费用。</w:t>
      </w:r>
    </w:p>
    <w:p w14:paraId="55372802">
      <w:pPr>
        <w:pStyle w:val="8"/>
        <w:spacing w:line="600" w:lineRule="exact"/>
        <w:ind w:firstLine="64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（一）地基基础和主体结构工程缺陷包括：</w:t>
      </w:r>
    </w:p>
    <w:p w14:paraId="7C7E4330">
      <w:pPr>
        <w:pStyle w:val="8"/>
        <w:spacing w:line="600" w:lineRule="exact"/>
        <w:ind w:firstLine="64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1.整体或局部倒塌；</w:t>
      </w:r>
    </w:p>
    <w:p w14:paraId="0B6C3456">
      <w:pPr>
        <w:pStyle w:val="8"/>
        <w:spacing w:line="600" w:lineRule="exact"/>
        <w:ind w:firstLine="64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2.地基产生超出设计规范允许的不均匀沉降；</w:t>
      </w:r>
    </w:p>
    <w:p w14:paraId="3549C15D">
      <w:pPr>
        <w:pStyle w:val="8"/>
        <w:spacing w:line="600" w:lineRule="exact"/>
        <w:ind w:firstLine="64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3.主体结构出现影响结构安全的裂缝、变形、破损、断裂；</w:t>
      </w:r>
    </w:p>
    <w:p w14:paraId="685C32B3">
      <w:pPr>
        <w:pStyle w:val="8"/>
        <w:spacing w:line="600" w:lineRule="exact"/>
        <w:ind w:firstLine="64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4.阳台、雨蓬、挑檐等悬挑构件坍塌或出现影响使用安全的裂缝、破损、断裂。</w:t>
      </w:r>
    </w:p>
    <w:p w14:paraId="2168EDAE">
      <w:pPr>
        <w:pStyle w:val="8"/>
        <w:spacing w:line="600" w:lineRule="exact"/>
        <w:ind w:firstLine="64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（二）保温和防水工程缺陷包括：</w:t>
      </w:r>
    </w:p>
    <w:p w14:paraId="2C07BA14">
      <w:pPr>
        <w:pStyle w:val="8"/>
        <w:spacing w:line="600" w:lineRule="exact"/>
        <w:ind w:firstLine="64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1.外墙围护结构的保温工程潜在缺陷发生脱落、开裂、破损；</w:t>
      </w:r>
    </w:p>
    <w:p w14:paraId="737CAEDE">
      <w:pPr>
        <w:pStyle w:val="8"/>
        <w:spacing w:line="600" w:lineRule="exact"/>
        <w:ind w:firstLine="64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2.屋面及地下防水工程，有防水要求的卫生间、房间和门窗；</w:t>
      </w:r>
    </w:p>
    <w:p w14:paraId="6448C2BF">
      <w:pPr>
        <w:pStyle w:val="8"/>
        <w:spacing w:line="600" w:lineRule="exact"/>
        <w:ind w:firstLine="64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3.外墙面防渗漏处理工程发生损坏；</w:t>
      </w:r>
    </w:p>
    <w:p w14:paraId="444D820A">
      <w:pPr>
        <w:pStyle w:val="8"/>
        <w:spacing w:line="600" w:lineRule="exact"/>
        <w:ind w:firstLine="64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4.其他有防水要求的部位渗漏。</w:t>
      </w:r>
    </w:p>
    <w:p w14:paraId="49FBFE4A">
      <w:pPr>
        <w:pStyle w:val="8"/>
        <w:spacing w:line="600" w:lineRule="exact"/>
        <w:ind w:firstLine="640"/>
        <w:rPr>
          <w:rFonts w:ascii="仿宋_GB2312" w:hAnsi="仿宋_GB2312" w:eastAsia="仿宋_GB2312" w:cs="仿宋_GB2312"/>
          <w:kern w:val="0"/>
          <w:sz w:val="32"/>
          <w:szCs w:val="32"/>
          <w:lang w:bidi="ar"/>
        </w:rPr>
      </w:pPr>
      <w:r>
        <w:rPr>
          <w:rFonts w:hint="eastAsia" w:ascii="仿宋_GB2312" w:hAnsi="宋体" w:eastAsia="仿宋_GB2312"/>
          <w:color w:val="000000" w:themeColor="text1"/>
          <w:sz w:val="32"/>
          <w:szCs w:val="32"/>
          <w14:textFill>
            <w14:solidFill>
              <w14:schemeClr w14:val="tx1"/>
            </w14:solidFill>
          </w14:textFill>
        </w:rPr>
        <w:t>（三）安装和装修工程缺陷包括：</w:t>
      </w:r>
    </w:p>
    <w:p w14:paraId="7C5AC570">
      <w:pPr>
        <w:pStyle w:val="8"/>
        <w:spacing w:line="600" w:lineRule="exact"/>
        <w:ind w:firstLine="640"/>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1.电气管线、给排水管道及其设备；</w:t>
      </w:r>
    </w:p>
    <w:p w14:paraId="60E915EC">
      <w:pPr>
        <w:pStyle w:val="8"/>
        <w:spacing w:line="600" w:lineRule="exact"/>
        <w:ind w:firstLine="640"/>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2.建筑装饰装修工程（含外墙饰面、幕墙、门窗等质量缺陷）；</w:t>
      </w:r>
    </w:p>
    <w:p w14:paraId="31D1C009">
      <w:pPr>
        <w:pStyle w:val="8"/>
        <w:spacing w:line="600" w:lineRule="exact"/>
        <w:ind w:firstLine="640"/>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3.通风与空调工程；</w:t>
      </w:r>
    </w:p>
    <w:p w14:paraId="7B94E475">
      <w:pPr>
        <w:pStyle w:val="8"/>
        <w:spacing w:line="600" w:lineRule="exact"/>
        <w:ind w:firstLine="640"/>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4.建筑电气工程。</w:t>
      </w:r>
    </w:p>
    <w:p w14:paraId="2EBA29F5">
      <w:pPr>
        <w:pStyle w:val="8"/>
        <w:spacing w:line="600" w:lineRule="exact"/>
        <w:ind w:firstLine="640"/>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宋体" w:eastAsia="仿宋_GB2312"/>
          <w:sz w:val="32"/>
          <w:szCs w:val="32"/>
        </w:rPr>
        <w:t>（四）供热与供冷系统工程缺陷</w:t>
      </w:r>
    </w:p>
    <w:p w14:paraId="78B94FBF">
      <w:pPr>
        <w:spacing w:line="600" w:lineRule="exact"/>
        <w:ind w:firstLine="640" w:firstLineChars="200"/>
        <w:jc w:val="left"/>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缺陷责任期内，工程质量潜在缺陷由建设单位负责组织维修；保险责任期内，工程质量潜在缺陷由保险公司按照保险合同约定承担赔偿责任。</w:t>
      </w:r>
    </w:p>
    <w:p w14:paraId="15C0F25B">
      <w:pPr>
        <w:spacing w:line="600" w:lineRule="exact"/>
        <w:ind w:firstLine="640" w:firstLineChars="200"/>
        <w:jc w:val="left"/>
        <w:rPr>
          <w:rFonts w:ascii="仿宋_GB2312" w:hAnsi="宋体" w:eastAsia="仿宋_GB2312"/>
          <w:b/>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投保其他附加险由承、发包单位与保险公司在保险合同中约定。附加险包括：智能建筑工程、建筑节能工程、电梯工程等。承保范围的划分可参照《建筑与市政工程施工质量控制通用规范》（GB55032-2022）有关分部工程、分项工程的划分原则。</w:t>
      </w:r>
    </w:p>
    <w:p w14:paraId="76AB1E17">
      <w:pPr>
        <w:pStyle w:val="8"/>
        <w:spacing w:line="600" w:lineRule="exact"/>
        <w:ind w:firstLine="643"/>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第七条</w:t>
      </w:r>
      <w:r>
        <w:rPr>
          <w:rFonts w:hint="eastAsia" w:ascii="仿宋_GB2312" w:hAnsi="宋体" w:eastAsia="仿宋_GB2312"/>
          <w:color w:val="000000" w:themeColor="text1"/>
          <w:sz w:val="32"/>
          <w:szCs w:val="32"/>
          <w14:textFill>
            <w14:solidFill>
              <w14:schemeClr w14:val="tx1"/>
            </w14:solidFill>
          </w14:textFill>
        </w:rPr>
        <w:t xml:space="preserve"> 有下列情形之一的，不属于潜在缺陷保险责任范围：</w:t>
      </w:r>
    </w:p>
    <w:p w14:paraId="222A423D">
      <w:pPr>
        <w:spacing w:line="600" w:lineRule="exact"/>
        <w:ind w:firstLine="640" w:firstLineChars="200"/>
        <w:jc w:val="left"/>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 xml:space="preserve">（一）房屋所有权人、使用人违反《房屋建筑使用说明书》相关要求，或未按设计用途使用房屋，如超过设计标准增大荷载、擅自拆改房屋承重结构、擅自改变设备位置等，造成的质量缺陷； </w:t>
      </w:r>
    </w:p>
    <w:p w14:paraId="1EDE5C73">
      <w:pPr>
        <w:spacing w:line="600" w:lineRule="exact"/>
        <w:ind w:firstLine="640" w:firstLineChars="200"/>
        <w:jc w:val="left"/>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 xml:space="preserve">（二）房屋使用过程中，因房屋所有权人、使用人以外的第三方行为造成的质量缺陷； </w:t>
      </w:r>
    </w:p>
    <w:p w14:paraId="578A54C6">
      <w:pPr>
        <w:spacing w:line="600" w:lineRule="exact"/>
        <w:ind w:firstLine="640" w:firstLineChars="200"/>
        <w:jc w:val="left"/>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（三）保险合同约定的不可抗力因素造成的质量缺陷。</w:t>
      </w:r>
    </w:p>
    <w:p w14:paraId="7D5ADE2E">
      <w:pPr>
        <w:spacing w:line="600" w:lineRule="exact"/>
        <w:jc w:val="cente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第三章 保险金额与期限</w:t>
      </w:r>
    </w:p>
    <w:p w14:paraId="2E1F761E">
      <w:pPr>
        <w:spacing w:line="600" w:lineRule="exact"/>
        <w:ind w:firstLine="643" w:firstLineChars="200"/>
        <w:rPr>
          <w:rFonts w:ascii="仿宋_GB2312" w:hAnsi="宋体" w:eastAsia="仿宋_GB2312"/>
          <w:sz w:val="32"/>
          <w:szCs w:val="32"/>
        </w:rPr>
      </w:pPr>
      <w:r>
        <w:rPr>
          <w:rFonts w:hint="eastAsia" w:ascii="仿宋_GB2312" w:hAnsi="宋体" w:eastAsia="仿宋_GB2312"/>
          <w:b/>
          <w:bCs/>
          <w:color w:val="000000" w:themeColor="text1"/>
          <w:sz w:val="32"/>
          <w:szCs w:val="32"/>
          <w14:textFill>
            <w14:solidFill>
              <w14:schemeClr w14:val="tx1"/>
            </w14:solidFill>
          </w14:textFill>
        </w:rPr>
        <w:t xml:space="preserve">第八条 </w:t>
      </w:r>
      <w:r>
        <w:rPr>
          <w:rFonts w:hint="eastAsia" w:ascii="仿宋_GB2312" w:hAnsi="宋体" w:eastAsia="仿宋_GB2312"/>
          <w:color w:val="000000" w:themeColor="text1"/>
          <w:sz w:val="32"/>
          <w:szCs w:val="32"/>
          <w14:textFill>
            <w14:solidFill>
              <w14:schemeClr w14:val="tx1"/>
            </w14:solidFill>
          </w14:textFill>
        </w:rPr>
        <w:t>建设工程质量保证保险金额应等同于发包人和承包人合同约定的工程质量保证金金额，</w:t>
      </w:r>
      <w:r>
        <w:rPr>
          <w:rFonts w:hint="eastAsia" w:ascii="仿宋_GB2312" w:eastAsia="仿宋_GB2312"/>
          <w:color w:val="000000" w:themeColor="text1"/>
          <w:sz w:val="32"/>
          <w:szCs w:val="32"/>
          <w14:textFill>
            <w14:solidFill>
              <w14:schemeClr w14:val="tx1"/>
            </w14:solidFill>
          </w14:textFill>
        </w:rPr>
        <w:t>依据</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住房和城乡建设部、财政部《关于印发建设工程质量保证金管理办法的通知》（</w:t>
      </w:r>
      <w:r>
        <w:rPr>
          <w:rFonts w:ascii="仿宋_GB2312" w:eastAsia="仿宋_GB2312"/>
          <w:color w:val="000000" w:themeColor="text1"/>
          <w:sz w:val="32"/>
          <w:szCs w:val="32"/>
          <w14:textFill>
            <w14:solidFill>
              <w14:schemeClr w14:val="tx1"/>
            </w14:solidFill>
          </w14:textFill>
        </w:rPr>
        <w:t>建质</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〔2017〕138号）第七</w:t>
      </w:r>
      <w:r>
        <w:rPr>
          <w:rFonts w:ascii="仿宋_GB2312" w:hAnsi="仿宋_GB2312" w:eastAsia="仿宋_GB2312" w:cs="仿宋_GB2312"/>
          <w:color w:val="000000" w:themeColor="text1"/>
          <w:kern w:val="0"/>
          <w:sz w:val="32"/>
          <w:szCs w:val="32"/>
          <w:lang w:bidi="ar"/>
          <w14:textFill>
            <w14:solidFill>
              <w14:schemeClr w14:val="tx1"/>
            </w14:solidFill>
          </w14:textFill>
        </w:rPr>
        <w:t>条规定</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w:t>
      </w:r>
      <w:r>
        <w:rPr>
          <w:rFonts w:hint="eastAsia" w:ascii="仿宋_GB2312" w:hAnsi="宋体" w:eastAsia="仿宋_GB2312"/>
          <w:color w:val="000000" w:themeColor="text1"/>
          <w:sz w:val="32"/>
          <w:szCs w:val="32"/>
          <w14:textFill>
            <w14:solidFill>
              <w14:schemeClr w14:val="tx1"/>
            </w14:solidFill>
          </w14:textFill>
        </w:rPr>
        <w:t>保</w:t>
      </w:r>
      <w:r>
        <w:rPr>
          <w:rFonts w:ascii="仿宋_GB2312" w:hAnsi="宋体" w:eastAsia="仿宋_GB2312"/>
          <w:color w:val="000000" w:themeColor="text1"/>
          <w:sz w:val="32"/>
          <w:szCs w:val="32"/>
          <w14:textFill>
            <w14:solidFill>
              <w14:schemeClr w14:val="tx1"/>
            </w14:solidFill>
          </w14:textFill>
        </w:rPr>
        <w:t>证金总预留比例不得高于工程</w:t>
      </w:r>
      <w:r>
        <w:rPr>
          <w:rFonts w:hint="eastAsia" w:ascii="仿宋_GB2312" w:hAnsi="宋体" w:eastAsia="仿宋_GB2312"/>
          <w:color w:val="000000" w:themeColor="text1"/>
          <w:sz w:val="32"/>
          <w:szCs w:val="32"/>
          <w14:textFill>
            <w14:solidFill>
              <w14:schemeClr w14:val="tx1"/>
            </w14:solidFill>
          </w14:textFill>
        </w:rPr>
        <w:t>价款结算总额</w:t>
      </w:r>
      <w:r>
        <w:rPr>
          <w:rFonts w:ascii="仿宋_GB2312" w:hAnsi="宋体" w:eastAsia="仿宋_GB2312"/>
          <w:color w:val="000000" w:themeColor="text1"/>
          <w:sz w:val="32"/>
          <w:szCs w:val="32"/>
          <w14:textFill>
            <w14:solidFill>
              <w14:schemeClr w14:val="tx1"/>
            </w14:solidFill>
          </w14:textFill>
        </w:rPr>
        <w:t>的</w:t>
      </w:r>
      <w:r>
        <w:rPr>
          <w:rFonts w:hint="eastAsia" w:ascii="仿宋_GB2312" w:hAnsi="宋体" w:eastAsia="仿宋_GB2312"/>
          <w:color w:val="000000" w:themeColor="text1"/>
          <w:sz w:val="32"/>
          <w:szCs w:val="32"/>
          <w14:textFill>
            <w14:solidFill>
              <w14:schemeClr w14:val="tx1"/>
            </w14:solidFill>
          </w14:textFill>
        </w:rPr>
        <w:t>3</w:t>
      </w:r>
      <w:r>
        <w:rPr>
          <w:rFonts w:ascii="仿宋_GB2312" w:hAnsi="宋体" w:eastAsia="仿宋_GB2312"/>
          <w:color w:val="000000" w:themeColor="text1"/>
          <w:sz w:val="32"/>
          <w:szCs w:val="32"/>
          <w14:textFill>
            <w14:solidFill>
              <w14:schemeClr w14:val="tx1"/>
            </w14:solidFill>
          </w14:textFill>
        </w:rPr>
        <w:t>%，保险金额不得超出该</w:t>
      </w:r>
      <w:r>
        <w:rPr>
          <w:rFonts w:hint="eastAsia" w:ascii="仿宋_GB2312" w:hAnsi="宋体" w:eastAsia="仿宋_GB2312"/>
          <w:color w:val="000000" w:themeColor="text1"/>
          <w:sz w:val="32"/>
          <w:szCs w:val="32"/>
          <w14:textFill>
            <w14:solidFill>
              <w14:schemeClr w14:val="tx1"/>
            </w14:solidFill>
          </w14:textFill>
        </w:rPr>
        <w:t>比例</w:t>
      </w:r>
      <w:r>
        <w:rPr>
          <w:rFonts w:ascii="仿宋_GB2312" w:hAnsi="宋体" w:eastAsia="仿宋_GB2312"/>
          <w:color w:val="000000" w:themeColor="text1"/>
          <w:sz w:val="32"/>
          <w:szCs w:val="32"/>
          <w14:textFill>
            <w14:solidFill>
              <w14:schemeClr w14:val="tx1"/>
            </w14:solidFill>
          </w14:textFill>
        </w:rPr>
        <w:t>对应金额</w:t>
      </w:r>
      <w:r>
        <w:rPr>
          <w:rFonts w:hint="eastAsia" w:ascii="仿宋_GB2312" w:hAnsi="宋体" w:eastAsia="仿宋_GB2312"/>
          <w:color w:val="000000" w:themeColor="text1"/>
          <w:sz w:val="32"/>
          <w:szCs w:val="32"/>
          <w14:textFill>
            <w14:solidFill>
              <w14:schemeClr w14:val="tx1"/>
            </w14:solidFill>
          </w14:textFill>
        </w:rPr>
        <w:t>，保险期限应与缺陷责任期一致，</w:t>
      </w:r>
      <w:r>
        <w:rPr>
          <w:rFonts w:hint="eastAsia" w:ascii="仿宋_GB2312" w:hAnsi="宋体" w:eastAsia="仿宋_GB2312"/>
          <w:sz w:val="32"/>
          <w:szCs w:val="32"/>
        </w:rPr>
        <w:t>参照《建设工程质量管理条例》中工程质量保修相关内容由发、承包双方在合同中约定，一般不超过2年。（本</w:t>
      </w:r>
      <w:r>
        <w:rPr>
          <w:rFonts w:ascii="仿宋_GB2312" w:hAnsi="宋体" w:eastAsia="仿宋_GB2312"/>
          <w:sz w:val="32"/>
          <w:szCs w:val="32"/>
        </w:rPr>
        <w:t>保险期限未</w:t>
      </w:r>
      <w:r>
        <w:rPr>
          <w:rFonts w:hint="eastAsia" w:ascii="仿宋_GB2312" w:hAnsi="宋体" w:eastAsia="仿宋_GB2312"/>
          <w:sz w:val="32"/>
          <w:szCs w:val="32"/>
        </w:rPr>
        <w:t>完</w:t>
      </w:r>
      <w:r>
        <w:rPr>
          <w:rFonts w:ascii="仿宋_GB2312" w:hAnsi="宋体" w:eastAsia="仿宋_GB2312"/>
          <w:sz w:val="32"/>
          <w:szCs w:val="32"/>
        </w:rPr>
        <w:t>全覆盖</w:t>
      </w:r>
      <w:r>
        <w:rPr>
          <w:rFonts w:hint="eastAsia" w:ascii="仿宋_GB2312" w:hAnsi="宋体" w:eastAsia="仿宋_GB2312"/>
          <w:sz w:val="32"/>
          <w:szCs w:val="32"/>
        </w:rPr>
        <w:t>工程的</w:t>
      </w:r>
      <w:r>
        <w:rPr>
          <w:rFonts w:ascii="仿宋_GB2312" w:hAnsi="宋体" w:eastAsia="仿宋_GB2312"/>
          <w:sz w:val="32"/>
          <w:szCs w:val="32"/>
        </w:rPr>
        <w:t>法定</w:t>
      </w:r>
      <w:r>
        <w:rPr>
          <w:rFonts w:hint="eastAsia" w:ascii="仿宋_GB2312" w:hAnsi="宋体" w:eastAsia="仿宋_GB2312"/>
          <w:sz w:val="32"/>
          <w:szCs w:val="32"/>
        </w:rPr>
        <w:t>缺陷责任</w:t>
      </w:r>
      <w:r>
        <w:rPr>
          <w:rFonts w:ascii="仿宋_GB2312" w:hAnsi="宋体" w:eastAsia="仿宋_GB2312"/>
          <w:sz w:val="32"/>
          <w:szCs w:val="32"/>
        </w:rPr>
        <w:t>期，存在保</w:t>
      </w:r>
      <w:r>
        <w:rPr>
          <w:rFonts w:hint="eastAsia" w:ascii="仿宋_GB2312" w:hAnsi="宋体" w:eastAsia="仿宋_GB2312"/>
          <w:sz w:val="32"/>
          <w:szCs w:val="32"/>
        </w:rPr>
        <w:t>险</w:t>
      </w:r>
      <w:r>
        <w:rPr>
          <w:rFonts w:ascii="仿宋_GB2312" w:hAnsi="宋体" w:eastAsia="仿宋_GB2312"/>
          <w:sz w:val="32"/>
          <w:szCs w:val="32"/>
        </w:rPr>
        <w:t>期与法定保修期不匹配的</w:t>
      </w:r>
      <w:r>
        <w:rPr>
          <w:rFonts w:hint="eastAsia" w:ascii="仿宋_GB2312" w:hAnsi="宋体" w:eastAsia="仿宋_GB2312"/>
          <w:sz w:val="32"/>
          <w:szCs w:val="32"/>
        </w:rPr>
        <w:t>情况</w:t>
      </w:r>
      <w:r>
        <w:rPr>
          <w:rFonts w:ascii="仿宋_GB2312" w:hAnsi="宋体" w:eastAsia="仿宋_GB2312"/>
          <w:sz w:val="32"/>
          <w:szCs w:val="32"/>
        </w:rPr>
        <w:t>，投保双方应在合同中</w:t>
      </w:r>
      <w:r>
        <w:rPr>
          <w:rFonts w:hint="eastAsia" w:ascii="仿宋_GB2312" w:hAnsi="宋体" w:eastAsia="仿宋_GB2312"/>
          <w:sz w:val="32"/>
          <w:szCs w:val="32"/>
        </w:rPr>
        <w:t>明确</w:t>
      </w:r>
      <w:r>
        <w:rPr>
          <w:rFonts w:ascii="仿宋_GB2312" w:hAnsi="宋体" w:eastAsia="仿宋_GB2312"/>
          <w:sz w:val="32"/>
          <w:szCs w:val="32"/>
        </w:rPr>
        <w:t>约定超出保险期限部分的质量保</w:t>
      </w:r>
      <w:r>
        <w:rPr>
          <w:rFonts w:hint="eastAsia" w:ascii="仿宋_GB2312" w:hAnsi="宋体" w:eastAsia="仿宋_GB2312"/>
          <w:sz w:val="32"/>
          <w:szCs w:val="32"/>
        </w:rPr>
        <w:t>修</w:t>
      </w:r>
      <w:r>
        <w:rPr>
          <w:rFonts w:ascii="仿宋_GB2312" w:hAnsi="宋体" w:eastAsia="仿宋_GB2312"/>
          <w:sz w:val="32"/>
          <w:szCs w:val="32"/>
        </w:rPr>
        <w:t>责任</w:t>
      </w:r>
      <w:r>
        <w:rPr>
          <w:rFonts w:hint="eastAsia" w:ascii="仿宋_GB2312" w:hAnsi="宋体" w:eastAsia="仿宋_GB2312"/>
          <w:sz w:val="32"/>
          <w:szCs w:val="32"/>
        </w:rPr>
        <w:t>承担</w:t>
      </w:r>
      <w:r>
        <w:rPr>
          <w:rFonts w:ascii="仿宋_GB2312" w:hAnsi="宋体" w:eastAsia="仿宋_GB2312"/>
          <w:sz w:val="32"/>
          <w:szCs w:val="32"/>
        </w:rPr>
        <w:t>方式。）</w:t>
      </w:r>
    </w:p>
    <w:p w14:paraId="6845A86A">
      <w:pPr>
        <w:spacing w:line="600" w:lineRule="exact"/>
        <w:ind w:firstLine="643" w:firstLineChars="200"/>
        <w:jc w:val="left"/>
        <w:rPr>
          <w:rFonts w:ascii="仿宋_GB2312" w:hAnsi="宋体" w:eastAsia="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kern w:val="0"/>
          <w:sz w:val="32"/>
          <w:szCs w:val="32"/>
          <w:lang w:bidi="ar"/>
          <w14:textFill>
            <w14:solidFill>
              <w14:schemeClr w14:val="tx1"/>
            </w14:solidFill>
          </w14:textFill>
        </w:rPr>
        <w:t>第九条</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 xml:space="preserve"> </w:t>
      </w:r>
      <w:r>
        <w:rPr>
          <w:rFonts w:hint="eastAsia" w:ascii="仿宋_GB2312" w:hAnsi="宋体" w:eastAsia="仿宋_GB2312"/>
          <w:color w:val="000000" w:themeColor="text1"/>
          <w:sz w:val="32"/>
          <w:szCs w:val="32"/>
          <w14:textFill>
            <w14:solidFill>
              <w14:schemeClr w14:val="tx1"/>
            </w14:solidFill>
          </w14:textFill>
        </w:rPr>
        <w:t>潜在缺陷保险金额按照建筑安装工程总造价预算价计算</w:t>
      </w:r>
      <w:r>
        <w:rPr>
          <w:rFonts w:ascii="仿宋_GB2312" w:hAnsi="宋体" w:eastAsia="仿宋_GB2312"/>
          <w:color w:val="000000" w:themeColor="text1"/>
          <w:sz w:val="32"/>
          <w:szCs w:val="32"/>
          <w14:textFill>
            <w14:solidFill>
              <w14:schemeClr w14:val="tx1"/>
            </w14:solidFill>
          </w14:textFill>
        </w:rPr>
        <w:t>。</w:t>
      </w:r>
      <w:r>
        <w:rPr>
          <w:rFonts w:hint="eastAsia" w:ascii="仿宋_GB2312" w:hAnsi="宋体" w:eastAsia="仿宋_GB2312"/>
          <w:color w:val="000000" w:themeColor="text1"/>
          <w:sz w:val="32"/>
          <w:szCs w:val="32"/>
          <w14:textFill>
            <w14:solidFill>
              <w14:schemeClr w14:val="tx1"/>
            </w14:solidFill>
          </w14:textFill>
        </w:rPr>
        <w:t>保险期限应覆盖建设工程的最低保修期限，参照《建设工程质量管理条例》相关规定。保险责任起始时间自建设工程竣工验收合格满2年之</w:t>
      </w:r>
      <w:r>
        <w:rPr>
          <w:rFonts w:ascii="仿宋_GB2312" w:hAnsi="宋体" w:eastAsia="仿宋_GB2312"/>
          <w:color w:val="000000" w:themeColor="text1"/>
          <w:sz w:val="32"/>
          <w:szCs w:val="32"/>
          <w14:textFill>
            <w14:solidFill>
              <w14:schemeClr w14:val="tx1"/>
            </w14:solidFill>
          </w14:textFill>
        </w:rPr>
        <w:t>次</w:t>
      </w:r>
      <w:r>
        <w:rPr>
          <w:rFonts w:hint="eastAsia" w:ascii="仿宋_GB2312" w:hAnsi="宋体" w:eastAsia="仿宋_GB2312"/>
          <w:color w:val="000000" w:themeColor="text1"/>
          <w:sz w:val="32"/>
          <w:szCs w:val="32"/>
          <w14:textFill>
            <w14:solidFill>
              <w14:schemeClr w14:val="tx1"/>
            </w14:solidFill>
          </w14:textFill>
        </w:rPr>
        <w:t>日起算（即缺陷责任期结束次日），其中：地基基础和主体结构工程的保险责任期为10年，保温工程和防水工程的保险责任期为5年，供热与供冷系统工程的保险责任期为2年，安装与装修工程的保险责任期为2年。</w:t>
      </w:r>
    </w:p>
    <w:p w14:paraId="2754A950">
      <w:pPr>
        <w:spacing w:line="600" w:lineRule="exact"/>
        <w:jc w:val="cente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第四章 投保与承保</w:t>
      </w:r>
    </w:p>
    <w:p w14:paraId="155AE8F8">
      <w:pPr>
        <w:spacing w:line="600" w:lineRule="exact"/>
        <w:ind w:firstLine="643" w:firstLineChars="200"/>
        <w:rPr>
          <w:rFonts w:ascii="仿宋_GB2312" w:hAnsi="宋体" w:eastAsia="仿宋_GB2312"/>
          <w:sz w:val="32"/>
          <w:szCs w:val="32"/>
        </w:rPr>
      </w:pPr>
      <w:r>
        <w:rPr>
          <w:rFonts w:hint="eastAsia" w:ascii="仿宋_GB2312" w:hAnsi="宋体" w:eastAsia="仿宋_GB2312"/>
          <w:b/>
          <w:bCs/>
          <w:color w:val="000000" w:themeColor="text1"/>
          <w:sz w:val="32"/>
          <w:szCs w:val="32"/>
          <w14:textFill>
            <w14:solidFill>
              <w14:schemeClr w14:val="tx1"/>
            </w14:solidFill>
          </w14:textFill>
        </w:rPr>
        <w:t xml:space="preserve">第十条 </w:t>
      </w:r>
      <w:r>
        <w:rPr>
          <w:rFonts w:hint="eastAsia" w:ascii="仿宋_GB2312" w:hAnsi="宋体" w:eastAsia="仿宋_GB2312"/>
          <w:bCs/>
          <w:color w:val="000000" w:themeColor="text1"/>
          <w:sz w:val="32"/>
          <w:szCs w:val="32"/>
          <w14:textFill>
            <w14:solidFill>
              <w14:schemeClr w14:val="tx1"/>
            </w14:solidFill>
          </w14:textFill>
        </w:rPr>
        <w:t>本市工程质量保险</w:t>
      </w:r>
      <w:r>
        <w:rPr>
          <w:rFonts w:hint="eastAsia" w:ascii="仿宋_GB2312" w:hAnsi="宋体" w:eastAsia="仿宋_GB2312"/>
          <w:color w:val="000000" w:themeColor="text1"/>
          <w:sz w:val="32"/>
          <w:szCs w:val="32"/>
          <w14:textFill>
            <w14:solidFill>
              <w14:schemeClr w14:val="tx1"/>
            </w14:solidFill>
          </w14:textFill>
        </w:rPr>
        <w:t>采</w:t>
      </w:r>
      <w:r>
        <w:rPr>
          <w:rFonts w:ascii="仿宋_GB2312" w:hAnsi="宋体" w:eastAsia="仿宋_GB2312"/>
          <w:color w:val="000000" w:themeColor="text1"/>
          <w:sz w:val="32"/>
          <w:szCs w:val="32"/>
          <w14:textFill>
            <w14:solidFill>
              <w14:schemeClr w14:val="tx1"/>
            </w14:solidFill>
          </w14:textFill>
        </w:rPr>
        <w:t>用共保体模式</w:t>
      </w:r>
      <w:r>
        <w:rPr>
          <w:rFonts w:hint="eastAsia" w:ascii="仿宋_GB2312" w:hAnsi="宋体" w:eastAsia="仿宋_GB2312"/>
          <w:color w:val="000000" w:themeColor="text1"/>
          <w:sz w:val="32"/>
          <w:szCs w:val="32"/>
          <w14:textFill>
            <w14:solidFill>
              <w14:schemeClr w14:val="tx1"/>
            </w14:solidFill>
          </w14:textFill>
        </w:rPr>
        <w:t>承保。石家庄市住建局组织专家对有承保意向的保险机构进行评选，选定1</w:t>
      </w:r>
      <w:r>
        <w:rPr>
          <w:rFonts w:ascii="仿宋_GB2312" w:hAnsi="宋体" w:eastAsia="仿宋_GB2312"/>
          <w:color w:val="000000" w:themeColor="text1"/>
          <w:sz w:val="32"/>
          <w:szCs w:val="32"/>
          <w14:textFill>
            <w14:solidFill>
              <w14:schemeClr w14:val="tx1"/>
            </w14:solidFill>
          </w14:textFill>
        </w:rPr>
        <w:t>0</w:t>
      </w:r>
      <w:r>
        <w:rPr>
          <w:rFonts w:hint="eastAsia" w:ascii="仿宋_GB2312" w:hAnsi="宋体" w:eastAsia="仿宋_GB2312"/>
          <w:color w:val="000000" w:themeColor="text1"/>
          <w:sz w:val="32"/>
          <w:szCs w:val="32"/>
          <w14:textFill>
            <w14:solidFill>
              <w14:schemeClr w14:val="tx1"/>
            </w14:solidFill>
          </w14:textFill>
        </w:rPr>
        <w:t>家偿付能力强、专业经验丰富的保险机构组成两个共保体开展此项业务。共保体应严格遵守“统一保险条款、统一保险费率、统一理赔服务、统一份额分配”的要求。首席保险公司的承保份额不得低于40%，共保体公司之间应签订正式共保协议，明确各自在具体项目的承保份额，权利义务及责任划分，</w:t>
      </w:r>
      <w:bookmarkStart w:id="0" w:name="OLE_LINK4"/>
      <w:bookmarkStart w:id="1" w:name="OLE_LINK3"/>
      <w:r>
        <w:rPr>
          <w:rFonts w:hint="eastAsia" w:ascii="仿宋_GB2312" w:hAnsi="宋体" w:eastAsia="仿宋_GB2312"/>
          <w:sz w:val="32"/>
          <w:szCs w:val="32"/>
        </w:rPr>
        <w:t>共</w:t>
      </w:r>
      <w:r>
        <w:rPr>
          <w:rFonts w:ascii="仿宋_GB2312" w:hAnsi="宋体" w:eastAsia="仿宋_GB2312"/>
          <w:sz w:val="32"/>
          <w:szCs w:val="32"/>
        </w:rPr>
        <w:t>保协议需</w:t>
      </w:r>
      <w:r>
        <w:rPr>
          <w:rFonts w:hint="eastAsia" w:ascii="仿宋_GB2312" w:hAnsi="宋体" w:eastAsia="仿宋_GB2312"/>
          <w:sz w:val="32"/>
          <w:szCs w:val="32"/>
        </w:rPr>
        <w:t>向项目所</w:t>
      </w:r>
      <w:r>
        <w:rPr>
          <w:rFonts w:ascii="仿宋_GB2312" w:hAnsi="宋体" w:eastAsia="仿宋_GB2312"/>
          <w:sz w:val="32"/>
          <w:szCs w:val="32"/>
        </w:rPr>
        <w:t>在地</w:t>
      </w:r>
      <w:r>
        <w:rPr>
          <w:rFonts w:hint="eastAsia" w:ascii="仿宋_GB2312" w:hAnsi="宋体" w:eastAsia="仿宋_GB2312"/>
          <w:sz w:val="32"/>
          <w:szCs w:val="32"/>
        </w:rPr>
        <w:t>县级</w:t>
      </w:r>
      <w:r>
        <w:rPr>
          <w:rFonts w:ascii="仿宋_GB2312" w:hAnsi="宋体" w:eastAsia="仿宋_GB2312"/>
          <w:sz w:val="32"/>
          <w:szCs w:val="32"/>
        </w:rPr>
        <w:t>建设主管部门</w:t>
      </w:r>
      <w:r>
        <w:rPr>
          <w:rFonts w:hint="eastAsia" w:ascii="仿宋_GB2312" w:hAnsi="宋体" w:eastAsia="仿宋_GB2312"/>
          <w:sz w:val="32"/>
          <w:szCs w:val="32"/>
        </w:rPr>
        <w:t>报备</w:t>
      </w:r>
      <w:r>
        <w:rPr>
          <w:rFonts w:ascii="仿宋_GB2312" w:hAnsi="宋体" w:eastAsia="仿宋_GB2312"/>
          <w:sz w:val="32"/>
          <w:szCs w:val="32"/>
        </w:rPr>
        <w:t>。</w:t>
      </w:r>
      <w:bookmarkEnd w:id="0"/>
      <w:bookmarkEnd w:id="1"/>
    </w:p>
    <w:p w14:paraId="75CD7DB4">
      <w:pPr>
        <w:spacing w:line="600" w:lineRule="exact"/>
        <w:ind w:firstLine="643" w:firstLineChars="200"/>
        <w:rPr>
          <w:rFonts w:ascii="仿宋_GB2312" w:hAnsi="宋体" w:eastAsia="仿宋_GB2312"/>
          <w:color w:val="000000" w:themeColor="text1"/>
          <w:sz w:val="32"/>
          <w:szCs w:val="32"/>
          <w14:textFill>
            <w14:gradFill>
              <w14:gsLst>
                <w14:gs w14:pos="50000">
                  <w14:schemeClr w14:val="accent2"/>
                </w14:gs>
                <w14:gs w14:pos="0">
                  <w14:schemeClr w14:val="accent2">
                    <w14:lumMod w14:val="25000"/>
                    <w14:lumOff w14:val="75000"/>
                  </w14:schemeClr>
                </w14:gs>
                <w14:gs w14:pos="100000">
                  <w14:schemeClr w14:val="accent2">
                    <w14:lumMod w14:val="85000"/>
                  </w14:schemeClr>
                </w14:gs>
              </w14:gsLst>
              <w14:lin w14:ang="5400000" w14:scaled="1"/>
            </w14:gradFill>
          </w14:textFill>
        </w:rPr>
      </w:pPr>
      <w:r>
        <w:rPr>
          <w:rFonts w:hint="eastAsia" w:ascii="仿宋_GB2312" w:hAnsi="宋体" w:eastAsia="仿宋_GB2312"/>
          <w:b/>
          <w:bCs/>
          <w:sz w:val="32"/>
          <w:szCs w:val="32"/>
        </w:rPr>
        <w:t>第十一条</w:t>
      </w:r>
      <w:r>
        <w:rPr>
          <w:rFonts w:hint="eastAsia" w:ascii="仿宋_GB2312" w:hAnsi="宋体" w:eastAsia="仿宋_GB2312"/>
          <w:sz w:val="32"/>
          <w:szCs w:val="32"/>
        </w:rPr>
        <w:t xml:space="preserve"> 投保潜在缺陷保险的工程，未开工的工程建设单位应在办理工程质量</w:t>
      </w:r>
      <w:r>
        <w:rPr>
          <w:rFonts w:ascii="仿宋_GB2312" w:hAnsi="宋体" w:eastAsia="仿宋_GB2312"/>
          <w:sz w:val="32"/>
          <w:szCs w:val="32"/>
        </w:rPr>
        <w:t>监督</w:t>
      </w:r>
      <w:r>
        <w:rPr>
          <w:rFonts w:hint="eastAsia" w:ascii="仿宋_GB2312" w:hAnsi="宋体" w:eastAsia="仿宋_GB2312"/>
          <w:sz w:val="32"/>
          <w:szCs w:val="32"/>
        </w:rPr>
        <w:t>备案</w:t>
      </w:r>
      <w:r>
        <w:rPr>
          <w:rFonts w:ascii="仿宋_GB2312" w:hAnsi="宋体" w:eastAsia="仿宋_GB2312"/>
          <w:sz w:val="32"/>
          <w:szCs w:val="32"/>
        </w:rPr>
        <w:t>手续</w:t>
      </w:r>
      <w:r>
        <w:rPr>
          <w:rFonts w:hint="eastAsia" w:ascii="仿宋_GB2312" w:hAnsi="宋体" w:eastAsia="仿宋_GB2312"/>
          <w:sz w:val="32"/>
          <w:szCs w:val="32"/>
        </w:rPr>
        <w:t>前完成投保手续；在建且工程进度低于或等于50%（工程总造价）的工程，由项目所在地工程质量监管部门书面通知建设单位限期办理潜在缺陷保险投保手续。建设单位申报的工程进度、造价数据应当真实、准确，与施工图设计文件、施工合同、工程计量资料等法定备案资料一致，工程质量风险管理机构、项目所在地质量监管部门可对工程实际进度及造价开展现场核查、资料核验，建设单位应配合提供施工日志、工程量清单、造价核算报告等佐证材料，不得瞒报、虚报工程量及工程造价规避投保义务。建设单位应与</w:t>
      </w:r>
      <w:r>
        <w:rPr>
          <w:rFonts w:hint="eastAsia" w:ascii="仿宋_GB2312" w:hAnsi="宋体" w:eastAsia="仿宋_GB2312"/>
          <w:color w:val="000000" w:themeColor="text1"/>
          <w:sz w:val="32"/>
          <w:szCs w:val="32"/>
          <w14:textFill>
            <w14:solidFill>
              <w14:schemeClr w14:val="tx1"/>
            </w14:solidFill>
          </w14:textFill>
        </w:rPr>
        <w:t>获得本市入围共保体的两家首席保险公司其中之一签订书面保险合同，并一次性支付合同约定的保险费</w:t>
      </w:r>
      <w:r>
        <w:rPr>
          <w:rFonts w:ascii="仿宋_GB2312" w:hAnsi="宋体" w:eastAsia="仿宋_GB2312"/>
          <w:color w:val="000000" w:themeColor="text1"/>
          <w:sz w:val="32"/>
          <w:szCs w:val="32"/>
          <w14:textFill>
            <w14:solidFill>
              <w14:schemeClr w14:val="tx1"/>
            </w14:solidFill>
          </w14:textFill>
        </w:rPr>
        <w:t>。</w:t>
      </w:r>
    </w:p>
    <w:p w14:paraId="0D04B0F3">
      <w:pPr>
        <w:spacing w:line="600" w:lineRule="exact"/>
        <w:ind w:firstLine="640" w:firstLineChars="200"/>
        <w:rPr>
          <w:rFonts w:ascii="仿宋_GB2312" w:hAnsi="宋体" w:eastAsia="仿宋_GB2312"/>
          <w:color w:val="FF0000"/>
          <w:sz w:val="32"/>
          <w:szCs w:val="32"/>
          <w:highlight w:val="yellow"/>
        </w:rPr>
      </w:pPr>
      <w:r>
        <w:rPr>
          <w:rFonts w:hint="eastAsia" w:ascii="仿宋_GB2312" w:hAnsi="宋体" w:eastAsia="仿宋_GB2312"/>
          <w:color w:val="000000" w:themeColor="text1"/>
          <w:sz w:val="32"/>
          <w:szCs w:val="32"/>
          <w14:textFill>
            <w14:solidFill>
              <w14:schemeClr w14:val="tx1"/>
            </w14:solidFill>
          </w14:textFill>
        </w:rPr>
        <w:t>一个工程项目作为一个独立保险标的，出具一份保险单，保险合同明确责任范围、赔偿限额、</w:t>
      </w:r>
      <w:r>
        <w:rPr>
          <w:rFonts w:ascii="仿宋_GB2312" w:hAnsi="宋体" w:eastAsia="仿宋_GB2312"/>
          <w:color w:val="000000" w:themeColor="text1"/>
          <w:sz w:val="32"/>
          <w:szCs w:val="32"/>
          <w14:textFill>
            <w14:solidFill>
              <w14:schemeClr w14:val="tx1"/>
            </w14:solidFill>
          </w14:textFill>
        </w:rPr>
        <w:t>保险期间、双方权利义务等核心内容，保险单</w:t>
      </w:r>
      <w:r>
        <w:rPr>
          <w:rFonts w:hint="eastAsia" w:ascii="仿宋_GB2312" w:hAnsi="宋体" w:eastAsia="仿宋_GB2312"/>
          <w:color w:val="000000" w:themeColor="text1"/>
          <w:sz w:val="32"/>
          <w:szCs w:val="32"/>
          <w14:textFill>
            <w14:solidFill>
              <w14:schemeClr w14:val="tx1"/>
            </w14:solidFill>
          </w14:textFill>
        </w:rPr>
        <w:t>签订后保险机构须在3个工作日内</w:t>
      </w:r>
      <w:r>
        <w:rPr>
          <w:rFonts w:ascii="仿宋_GB2312" w:hAnsi="宋体" w:eastAsia="仿宋_GB2312"/>
          <w:sz w:val="32"/>
          <w:szCs w:val="32"/>
        </w:rPr>
        <w:t>报</w:t>
      </w:r>
      <w:r>
        <w:rPr>
          <w:rFonts w:hint="eastAsia" w:ascii="仿宋_GB2312" w:hAnsi="宋体" w:eastAsia="仿宋_GB2312"/>
          <w:sz w:val="32"/>
          <w:szCs w:val="32"/>
        </w:rPr>
        <w:t>项目</w:t>
      </w:r>
      <w:r>
        <w:rPr>
          <w:rFonts w:ascii="仿宋_GB2312" w:hAnsi="宋体" w:eastAsia="仿宋_GB2312"/>
          <w:sz w:val="32"/>
          <w:szCs w:val="32"/>
        </w:rPr>
        <w:t>辖区建设主管部门</w:t>
      </w:r>
      <w:r>
        <w:rPr>
          <w:rFonts w:hint="eastAsia" w:ascii="仿宋_GB2312" w:hAnsi="宋体" w:eastAsia="仿宋_GB2312"/>
          <w:sz w:val="32"/>
          <w:szCs w:val="32"/>
        </w:rPr>
        <w:t>备案。</w:t>
      </w:r>
    </w:p>
    <w:p w14:paraId="3EED3079">
      <w:pPr>
        <w:spacing w:line="600" w:lineRule="exact"/>
        <w:ind w:firstLine="643"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b/>
          <w:bCs/>
          <w:kern w:val="0"/>
          <w:sz w:val="32"/>
          <w:szCs w:val="32"/>
          <w:lang w:bidi="ar"/>
        </w:rPr>
        <w:t xml:space="preserve">第十二条 </w:t>
      </w:r>
      <w:r>
        <w:rPr>
          <w:rFonts w:hint="eastAsia" w:ascii="仿宋_GB2312" w:hAnsi="宋体" w:eastAsia="仿宋_GB2312"/>
          <w:sz w:val="32"/>
          <w:szCs w:val="32"/>
        </w:rPr>
        <w:t>保险公司按照法律法规及有关规定，结合投保时间节点、</w:t>
      </w:r>
      <w:r>
        <w:rPr>
          <w:rFonts w:ascii="仿宋_GB2312" w:hAnsi="仿宋_GB2312" w:eastAsia="仿宋_GB2312" w:cs="仿宋_GB2312"/>
          <w:kern w:val="0"/>
          <w:sz w:val="32"/>
          <w:szCs w:val="32"/>
          <w:lang w:bidi="ar"/>
        </w:rPr>
        <w:t>建设工程风险程度、工程技术复杂程度、参建单位企业资质</w:t>
      </w:r>
      <w:r>
        <w:rPr>
          <w:rFonts w:hint="eastAsia" w:ascii="仿宋_GB2312" w:hAnsi="仿宋_GB2312" w:eastAsia="仿宋_GB2312" w:cs="仿宋_GB2312"/>
          <w:kern w:val="0"/>
          <w:sz w:val="32"/>
          <w:szCs w:val="32"/>
          <w:lang w:bidi="ar"/>
        </w:rPr>
        <w:t>、项目</w:t>
      </w:r>
      <w:r>
        <w:rPr>
          <w:rFonts w:ascii="仿宋_GB2312" w:hAnsi="仿宋_GB2312" w:eastAsia="仿宋_GB2312" w:cs="仿宋_GB2312"/>
          <w:kern w:val="0"/>
          <w:sz w:val="32"/>
          <w:szCs w:val="32"/>
          <w:lang w:bidi="ar"/>
        </w:rPr>
        <w:t>施工进度</w:t>
      </w:r>
      <w:r>
        <w:rPr>
          <w:rFonts w:hint="eastAsia" w:ascii="仿宋_GB2312" w:hAnsi="仿宋_GB2312" w:eastAsia="仿宋_GB2312" w:cs="仿宋_GB2312"/>
          <w:kern w:val="0"/>
          <w:sz w:val="32"/>
          <w:szCs w:val="32"/>
          <w:lang w:bidi="ar"/>
        </w:rPr>
        <w:t>等因素</w:t>
      </w:r>
      <w:r>
        <w:rPr>
          <w:rFonts w:ascii="仿宋_GB2312" w:hAnsi="仿宋_GB2312" w:eastAsia="仿宋_GB2312" w:cs="仿宋_GB2312"/>
          <w:kern w:val="0"/>
          <w:sz w:val="32"/>
          <w:szCs w:val="32"/>
          <w:lang w:bidi="ar"/>
        </w:rPr>
        <w:t>，</w:t>
      </w:r>
      <w:r>
        <w:rPr>
          <w:rFonts w:hint="eastAsia" w:ascii="仿宋_GB2312" w:hAnsi="仿宋_GB2312" w:eastAsia="仿宋_GB2312" w:cs="仿宋_GB2312"/>
          <w:kern w:val="0"/>
          <w:sz w:val="32"/>
          <w:szCs w:val="32"/>
          <w:lang w:bidi="ar"/>
        </w:rPr>
        <w:t>科学测算</w:t>
      </w:r>
      <w:r>
        <w:rPr>
          <w:rFonts w:ascii="仿宋_GB2312" w:hAnsi="仿宋_GB2312" w:eastAsia="仿宋_GB2312" w:cs="仿宋_GB2312"/>
          <w:kern w:val="0"/>
          <w:sz w:val="32"/>
          <w:szCs w:val="32"/>
          <w:lang w:bidi="ar"/>
        </w:rPr>
        <w:t>并合理</w:t>
      </w:r>
      <w:r>
        <w:rPr>
          <w:rFonts w:hint="eastAsia" w:ascii="仿宋_GB2312" w:hAnsi="仿宋_GB2312" w:eastAsia="仿宋_GB2312" w:cs="仿宋_GB2312"/>
          <w:kern w:val="0"/>
          <w:sz w:val="32"/>
          <w:szCs w:val="32"/>
          <w:lang w:bidi="ar"/>
        </w:rPr>
        <w:t>厘</w:t>
      </w:r>
      <w:r>
        <w:rPr>
          <w:rFonts w:ascii="仿宋_GB2312" w:hAnsi="仿宋_GB2312" w:eastAsia="仿宋_GB2312" w:cs="仿宋_GB2312"/>
          <w:kern w:val="0"/>
          <w:sz w:val="32"/>
          <w:szCs w:val="32"/>
          <w:lang w:bidi="ar"/>
        </w:rPr>
        <w:t>定</w:t>
      </w:r>
      <w:r>
        <w:rPr>
          <w:rFonts w:hint="eastAsia" w:ascii="仿宋_GB2312" w:hAnsi="仿宋_GB2312" w:eastAsia="仿宋_GB2312" w:cs="仿宋_GB2312"/>
          <w:kern w:val="0"/>
          <w:sz w:val="32"/>
          <w:szCs w:val="32"/>
          <w:lang w:bidi="ar"/>
        </w:rPr>
        <w:t>潜</w:t>
      </w:r>
      <w:r>
        <w:rPr>
          <w:rFonts w:ascii="仿宋_GB2312" w:hAnsi="仿宋_GB2312" w:eastAsia="仿宋_GB2312" w:cs="仿宋_GB2312"/>
          <w:kern w:val="0"/>
          <w:sz w:val="32"/>
          <w:szCs w:val="32"/>
          <w:lang w:bidi="ar"/>
        </w:rPr>
        <w:t>在</w:t>
      </w:r>
      <w:r>
        <w:rPr>
          <w:rFonts w:hint="eastAsia" w:ascii="仿宋_GB2312" w:hAnsi="仿宋_GB2312" w:eastAsia="仿宋_GB2312" w:cs="仿宋_GB2312"/>
          <w:kern w:val="0"/>
          <w:sz w:val="32"/>
          <w:szCs w:val="32"/>
          <w:lang w:bidi="ar"/>
        </w:rPr>
        <w:t>缺陷</w:t>
      </w:r>
      <w:r>
        <w:rPr>
          <w:rFonts w:ascii="仿宋_GB2312" w:hAnsi="仿宋_GB2312" w:eastAsia="仿宋_GB2312" w:cs="仿宋_GB2312"/>
          <w:kern w:val="0"/>
          <w:sz w:val="32"/>
          <w:szCs w:val="32"/>
          <w:lang w:bidi="ar"/>
        </w:rPr>
        <w:t>保险承保费率。</w:t>
      </w:r>
    </w:p>
    <w:p w14:paraId="67D9880A">
      <w:pPr>
        <w:spacing w:line="600" w:lineRule="exac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xml:space="preserve">    施工进度以监理单位出具的工程进度审核报告、工程计量资料为核算依据，建设单位应提供真实有效的证明文件。</w:t>
      </w:r>
    </w:p>
    <w:p w14:paraId="24A243AA">
      <w:pPr>
        <w:spacing w:line="600" w:lineRule="exact"/>
        <w:ind w:firstLine="640" w:firstLineChars="200"/>
        <w:rPr>
          <w:rFonts w:ascii="仿宋_GB2312" w:hAnsi="宋体" w:eastAsia="仿宋_GB2312"/>
          <w:sz w:val="32"/>
          <w:szCs w:val="32"/>
        </w:rPr>
      </w:pPr>
      <w:bookmarkStart w:id="2" w:name="OLE_LINK5"/>
      <w:r>
        <w:rPr>
          <w:rFonts w:hint="eastAsia" w:ascii="仿宋_GB2312" w:hAnsi="宋体" w:eastAsia="仿宋_GB2312"/>
          <w:sz w:val="32"/>
          <w:szCs w:val="32"/>
        </w:rPr>
        <w:t>若同一个项目因不确定因素导致部分工程无法实施的，编制施工进度计划时应剔除该部分未开工工程的预算造价，该项目未开工工程部分的投保费率，按照</w:t>
      </w:r>
      <w:r>
        <w:rPr>
          <w:rFonts w:ascii="仿宋_GB2312" w:hAnsi="宋体" w:eastAsia="仿宋_GB2312"/>
          <w:sz w:val="32"/>
          <w:szCs w:val="32"/>
        </w:rPr>
        <w:t>前款定价规则结合剩余工程实际风险执行</w:t>
      </w:r>
      <w:r>
        <w:rPr>
          <w:rFonts w:hint="eastAsia" w:ascii="仿宋_GB2312" w:hAnsi="宋体" w:eastAsia="仿宋_GB2312"/>
          <w:sz w:val="32"/>
          <w:szCs w:val="32"/>
        </w:rPr>
        <w:t>。</w:t>
      </w:r>
      <w:bookmarkEnd w:id="2"/>
    </w:p>
    <w:p w14:paraId="06D6219C">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工程项目辖区住房和城乡建设主管部门在建设单位办理工程质量监督手续和组织竣工验收时要对购买潜在缺陷保险情况进行查验，对未按要求投保潜在缺陷保险的建设单位责令限期整改，整改完成后即可办理相关手续，并依法记录失信信息。</w:t>
      </w:r>
    </w:p>
    <w:p w14:paraId="7E88805E">
      <w:pPr>
        <w:spacing w:line="600" w:lineRule="exact"/>
        <w:ind w:firstLine="643" w:firstLineChars="200"/>
        <w:jc w:val="left"/>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bidi="ar"/>
          <w14:textFill>
            <w14:solidFill>
              <w14:schemeClr w14:val="tx1"/>
            </w14:solidFill>
          </w14:textFill>
        </w:rPr>
        <w:t>第十三条</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 xml:space="preserve"> 首席承保公司应建立健全潜在缺陷保险报价函管理制度，规范报价行为。客户询价时，首席承保公司应以正式报价函形式出具报价，报价函内容应完整、明确，包括但不限于项目名称、地理位置、建筑面积、工程造价、项目总保额、基准费率等。首席承保公司不得以减少建筑面积、剔除装修费用等方式缩小承保范围降低保额，不得违反规定使用保险条款和保险费率。</w:t>
      </w:r>
    </w:p>
    <w:p w14:paraId="032E4540">
      <w:pPr>
        <w:spacing w:line="600" w:lineRule="exact"/>
        <w:ind w:firstLine="643"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bidi="ar"/>
          <w14:textFill>
            <w14:solidFill>
              <w14:schemeClr w14:val="tx1"/>
            </w14:solidFill>
          </w14:textFill>
        </w:rPr>
        <w:t>第十四条</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 xml:space="preserve"> 保险合同依法成立后，投保人或被保险人如需解除保险合同、变更保险公司或者变更保险合同内容，需征得全体业主和辖区建设主管部门书面同意。</w:t>
      </w:r>
    </w:p>
    <w:p w14:paraId="2E17BDA3">
      <w:pPr>
        <w:spacing w:line="600" w:lineRule="exact"/>
        <w:ind w:firstLine="643"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bidi="ar"/>
          <w14:textFill>
            <w14:solidFill>
              <w14:schemeClr w14:val="tx1"/>
            </w14:solidFill>
          </w14:textFill>
        </w:rPr>
        <w:t>第十五条</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 xml:space="preserve"> 在保险期间内住宅或者其他建筑物所有权转让的，保险标的受让人承继建设单位本保单下的权益。</w:t>
      </w:r>
    </w:p>
    <w:p w14:paraId="45F0A246">
      <w:pPr>
        <w:spacing w:line="600" w:lineRule="exact"/>
        <w:jc w:val="cente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第五章 风险机构管理</w:t>
      </w:r>
    </w:p>
    <w:p w14:paraId="051A7BE5">
      <w:pPr>
        <w:spacing w:line="600" w:lineRule="exact"/>
        <w:ind w:firstLine="643" w:firstLineChars="200"/>
        <w:rPr>
          <w:rFonts w:ascii="仿宋_GB2312" w:hAnsi="仿宋_GB2312" w:eastAsia="仿宋_GB2312" w:cs="仿宋_GB2312"/>
          <w:sz w:val="32"/>
          <w:szCs w:val="32"/>
        </w:rPr>
      </w:pPr>
      <w:r>
        <w:rPr>
          <w:rFonts w:hint="eastAsia" w:ascii="仿宋_GB2312" w:eastAsia="仿宋_GB2312"/>
          <w:b/>
          <w:bCs/>
          <w:color w:val="000000" w:themeColor="text1"/>
          <w:sz w:val="32"/>
          <w:szCs w:val="32"/>
          <w14:textFill>
            <w14:solidFill>
              <w14:schemeClr w14:val="tx1"/>
            </w14:solidFill>
          </w14:textFill>
        </w:rPr>
        <w:t xml:space="preserve">第十六条 </w:t>
      </w:r>
      <w:r>
        <w:rPr>
          <w:rFonts w:hint="eastAsia" w:ascii="仿宋_GB2312" w:hAnsi="仿宋_GB2312" w:eastAsia="仿宋_GB2312" w:cs="仿宋_GB2312"/>
          <w:sz w:val="32"/>
          <w:szCs w:val="32"/>
        </w:rPr>
        <w:t>保险公司应</w:t>
      </w:r>
      <w:r>
        <w:rPr>
          <w:rFonts w:hint="eastAsia" w:ascii="仿宋_GB2312" w:hAnsi="仿宋_GB2312" w:eastAsia="仿宋_GB2312" w:cs="仿宋_GB2312"/>
          <w:color w:val="000000" w:themeColor="text1"/>
          <w:sz w:val="32"/>
          <w:szCs w:val="32"/>
          <w14:textFill>
            <w14:solidFill>
              <w14:schemeClr w14:val="tx1"/>
            </w14:solidFill>
          </w14:textFill>
        </w:rPr>
        <w:t>制定工程质量风险评估实施方案，内容应包括具体实施工程质量风险评估的机构及其人员情况，工程质量风险评估的具体实施范围、实施计划、关键节点、重点工序，需要建设单位配合的具体事项和通知义务等，</w:t>
      </w:r>
      <w:r>
        <w:rPr>
          <w:rFonts w:hint="eastAsia" w:ascii="仿宋_GB2312" w:hAnsi="仿宋_GB2312" w:eastAsia="仿宋_GB2312" w:cs="仿宋_GB2312"/>
          <w:sz w:val="32"/>
          <w:szCs w:val="32"/>
        </w:rPr>
        <w:t>实施方案应在委托风险管理机构后3个工作日内报项目辖区住房和城乡建设主管部门备案。</w:t>
      </w:r>
    </w:p>
    <w:p w14:paraId="5EDD5545">
      <w:pPr>
        <w:spacing w:line="600" w:lineRule="exact"/>
        <w:ind w:firstLine="643"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第十七条</w:t>
      </w:r>
      <w:r>
        <w:rPr>
          <w:rFonts w:hint="eastAsia" w:ascii="仿宋_GB2312" w:hAnsi="仿宋_GB2312" w:eastAsia="仿宋_GB2312" w:cs="仿宋_GB2312"/>
          <w:color w:val="000000" w:themeColor="text1"/>
          <w:sz w:val="32"/>
          <w:szCs w:val="32"/>
          <w14:textFill>
            <w14:solidFill>
              <w14:schemeClr w14:val="tx1"/>
            </w14:solidFill>
          </w14:textFill>
        </w:rPr>
        <w:t xml:space="preserve"> 在工程建设期，建设工程各方责任主体应当配合保险公司开展工程质量风险评估工作。</w:t>
      </w:r>
    </w:p>
    <w:p w14:paraId="39897AC4">
      <w:pPr>
        <w:spacing w:line="600"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潜在缺陷保险合同签订后，保险公司应当及时委托建设工程质量风险管理机构（以下简称“风险管理机构”）实施风险管理。保险公司应当与风险管理机构签订书面委托合同，依法约定双方的权利和义务。风险管理机构不得与该工程参建单位存在关联关系，不得直接或间接参与该工程的勘察、设计、施工、监理</w:t>
      </w:r>
      <w:r>
        <w:rPr>
          <w:rFonts w:hint="eastAsia" w:ascii="仿宋_GB2312" w:hAnsi="仿宋_GB2312" w:eastAsia="仿宋_GB2312" w:cs="仿宋_GB2312"/>
          <w:sz w:val="32"/>
          <w:szCs w:val="32"/>
        </w:rPr>
        <w:t>、检测和</w:t>
      </w:r>
      <w:r>
        <w:rPr>
          <w:rFonts w:hint="eastAsia" w:ascii="仿宋_GB2312" w:hAnsi="仿宋_GB2312" w:eastAsia="仿宋_GB2312" w:cs="仿宋_GB2312"/>
          <w:color w:val="000000" w:themeColor="text1"/>
          <w:sz w:val="32"/>
          <w:szCs w:val="32"/>
          <w14:textFill>
            <w14:solidFill>
              <w14:schemeClr w14:val="tx1"/>
            </w14:solidFill>
          </w14:textFill>
        </w:rPr>
        <w:t>材料供应等工作。</w:t>
      </w:r>
    </w:p>
    <w:p w14:paraId="225BF2A3">
      <w:pPr>
        <w:spacing w:line="600" w:lineRule="exact"/>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bCs/>
          <w:color w:val="000000" w:themeColor="text1"/>
          <w:sz w:val="32"/>
          <w:szCs w:val="32"/>
          <w14:textFill>
            <w14:solidFill>
              <w14:schemeClr w14:val="tx1"/>
            </w14:solidFill>
          </w14:textFill>
        </w:rPr>
        <w:t>第十八条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sz w:val="32"/>
          <w:szCs w:val="32"/>
        </w:rPr>
        <w:t>风险管理机构受保险公司委托，对工程建设各阶段排查发现的、可能引发工程质量潜在缺陷或质量安全事故的工程技术风险，按轻微、一般、严重、风险保留四级开展风险辨识、分析与评估，各级风险判定标准参照《建筑施工安全风险分级管控技术规范》及本市工程质量管控要求制定，风险管理机构结合工程实际情况判定，同步出具风险评估报告，结果应在风险评估报告中详细说明依据。提出针对性风险处置建议，并全程跟踪隐患整改落实情况，对评估结论及整改跟踪结果真实性、准确性、完整性向保险公司承担相应责任。</w:t>
      </w:r>
    </w:p>
    <w:p w14:paraId="05F0CE7E">
      <w:pPr>
        <w:spacing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风险管理机构按照法律法规、工程建设标准、施工图设计文件和保险合同的要求，在接受保险公司委托后3个工作日内进场对建设工程实施工程质量风险评估，并向保险公司和建设单位出具工程质量风险过程评估报告、分户验收评估报告及最终评估报告，评估报告应当明确检查发现的质量缺陷和整改情况。建设单位接到评估报告后应当责成责任单位及时整改质量缺陷问题，评估报告中工程质量缺陷认定存在争议的，按照保险合同中双方约定的方式解决。</w:t>
      </w:r>
    </w:p>
    <w:p w14:paraId="625744AB">
      <w:pPr>
        <w:spacing w:line="600"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保险公司应当按不低于20%的比例参与分户验收，参与竣工验收，并提出质量评估意见。保险机构出具的工程质量风险最终评估报告，作为工程竣工验收的重要参考。</w:t>
      </w:r>
    </w:p>
    <w:p w14:paraId="37F6A4D2">
      <w:pPr>
        <w:spacing w:line="600" w:lineRule="exact"/>
        <w:jc w:val="center"/>
        <w:rPr>
          <w:rFonts w:ascii="仿宋_GB2312" w:hAnsi="仿宋_GB2312" w:eastAsia="仿宋_GB2312" w:cs="仿宋_GB2312"/>
          <w:b/>
          <w:bCs/>
          <w:color w:val="000000" w:themeColor="text1"/>
          <w:kern w:val="0"/>
          <w:sz w:val="32"/>
          <w:szCs w:val="32"/>
          <w:lang w:bidi="ar"/>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第六章 保险理赔</w:t>
      </w:r>
    </w:p>
    <w:p w14:paraId="7DA5E02F">
      <w:pPr>
        <w:spacing w:line="600" w:lineRule="exact"/>
        <w:ind w:firstLine="643" w:firstLineChars="200"/>
        <w:jc w:val="left"/>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bidi="ar"/>
          <w14:textFill>
            <w14:solidFill>
              <w14:schemeClr w14:val="tx1"/>
            </w14:solidFill>
          </w14:textFill>
        </w:rPr>
        <w:t xml:space="preserve">第十九条 </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保险公司编制《潜在缺陷保险告知书》，内容包括保险标的、保险责任和责任免除、保险期间和保险责任开始时间、违约责任和争议处理、保险理赔流程、负责保险理赔工作的部门及其联系方式、业主变更通知义务等。在业主办理房屋交付手续时，建设单位将《潜在缺陷保险告知书》、《住宅质量保证书》、《住宅使用说明书》一并交付业主。保险公司应在房屋交付前将《潜在缺陷保险告知书》交给建设单位，并在交付现场派员驻场支持。</w:t>
      </w:r>
    </w:p>
    <w:p w14:paraId="7E28A35F">
      <w:pPr>
        <w:spacing w:line="600" w:lineRule="exact"/>
        <w:ind w:firstLine="640" w:firstLineChars="200"/>
        <w:jc w:val="left"/>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业主在保险责任期内发现工程存在保险范围内的质量潜在缺陷，可以向保险公司提出索赔申请。</w:t>
      </w:r>
    </w:p>
    <w:p w14:paraId="66D4B7A0">
      <w:pPr>
        <w:spacing w:line="600" w:lineRule="exact"/>
        <w:ind w:firstLine="640" w:firstLineChars="200"/>
        <w:jc w:val="left"/>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缺陷责任期内发生严重影响业主日常生活或可能产生重大舆情风险，业主报修多次建设单位仍不能妥善处理的，保险公司和风险管理机构应积极参与处理，分析质量缺陷原因，协助提出解决方案，配合建设行政主管部门做好质量投诉处理，切实保障业主利益。</w:t>
      </w:r>
    </w:p>
    <w:p w14:paraId="3AB612E0">
      <w:pPr>
        <w:spacing w:line="600" w:lineRule="exact"/>
        <w:ind w:firstLine="643" w:firstLineChars="200"/>
        <w:jc w:val="left"/>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bidi="ar"/>
          <w14:textFill>
            <w14:solidFill>
              <w14:schemeClr w14:val="tx1"/>
            </w14:solidFill>
          </w14:textFill>
        </w:rPr>
        <w:t>第二十条</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 xml:space="preserve"> 所有权人可通过保险公司服务专线进行保险报案。保险公司应设立24小时服务专线，并在接到报案后两个工作日内派专人现场查勘。对于影响业主基本生活、属于保险责任范围的紧急索赔申请（如屋面严重漏水、给排水管道爆裂等），保险公司应在收到索赔申请后的48小时内，先行组织维修处置，保障业主正常生活，同时完成现场查勘和损失核定工作。</w:t>
      </w:r>
    </w:p>
    <w:p w14:paraId="044AB7F5">
      <w:pPr>
        <w:spacing w:line="600" w:lineRule="exact"/>
        <w:ind w:firstLine="643" w:firstLineChars="200"/>
        <w:jc w:val="left"/>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b/>
          <w:color w:val="000000" w:themeColor="text1"/>
          <w:kern w:val="0"/>
          <w:sz w:val="32"/>
          <w:szCs w:val="32"/>
          <w:lang w:bidi="ar"/>
          <w14:textFill>
            <w14:solidFill>
              <w14:schemeClr w14:val="tx1"/>
            </w14:solidFill>
          </w14:textFill>
        </w:rPr>
        <w:t>第二十一条</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 xml:space="preserve"> 对属于保险责任的，保险公司应当自与投、被保险人达成赔偿协议之日起十日内履行维修或赔偿义务。对不属于保险责任的，保险公司应当自作出核定之日起三日内向投、被保险人发出不予赔偿通知书，并说明不予赔偿的理由。</w:t>
      </w:r>
    </w:p>
    <w:p w14:paraId="78F81AFD">
      <w:pPr>
        <w:spacing w:line="600" w:lineRule="exact"/>
        <w:ind w:firstLine="643" w:firstLineChars="200"/>
        <w:jc w:val="left"/>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bidi="ar"/>
          <w14:textFill>
            <w14:solidFill>
              <w14:schemeClr w14:val="tx1"/>
            </w14:solidFill>
          </w14:textFill>
        </w:rPr>
        <w:t>第二十二条</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 xml:space="preserve"> 业主和保险公司对保险责任、赔偿金额存在争议的，由双方协商解决，可以共同委托工程质量检测机构、房屋安全鉴定机构进行检测鉴定，鉴定报告作为赔付依据。属于保险责任的，检测鉴定费用由保险公司承担；不属于保险责任的，检测鉴定费用由业主或投、被保险人承担。</w:t>
      </w:r>
    </w:p>
    <w:p w14:paraId="553DE23B">
      <w:pPr>
        <w:spacing w:line="600" w:lineRule="exact"/>
        <w:ind w:firstLine="643" w:firstLineChars="200"/>
        <w:jc w:val="left"/>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bidi="ar"/>
          <w14:textFill>
            <w14:solidFill>
              <w14:schemeClr w14:val="tx1"/>
            </w14:solidFill>
          </w14:textFill>
        </w:rPr>
        <w:t>第二十三条</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 xml:space="preserve"> 保险合同生效后，若投保人或被保险人因解散、破产等情形无法履行相关责任，保险公司仍应按照合同约定继续承担保险责任；如投保人或被保险人无法履行报案及理赔义务，可由房屋产权人、物业服务企业或属地政府代为行使索赔权利，保险公司应当予以受理，不得无故拒绝。</w:t>
      </w:r>
    </w:p>
    <w:p w14:paraId="5E13CBA3">
      <w:pPr>
        <w:spacing w:line="600" w:lineRule="exact"/>
        <w:jc w:val="cente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第七章 保险机构管理</w:t>
      </w:r>
    </w:p>
    <w:p w14:paraId="1A3630F7">
      <w:pPr>
        <w:spacing w:line="600" w:lineRule="exact"/>
        <w:ind w:firstLine="643" w:firstLineChars="200"/>
        <w:jc w:val="left"/>
        <w:rPr>
          <w:rFonts w:ascii="仿宋_GB2312" w:eastAsia="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bidi="ar"/>
          <w14:textFill>
            <w14:solidFill>
              <w14:schemeClr w14:val="tx1"/>
            </w14:solidFill>
          </w14:textFill>
        </w:rPr>
        <w:t>第二十四条</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 xml:space="preserve"> 首</w:t>
      </w:r>
      <w:r>
        <w:rPr>
          <w:rFonts w:ascii="仿宋_GB2312" w:hAnsi="仿宋_GB2312" w:eastAsia="仿宋_GB2312" w:cs="仿宋_GB2312"/>
          <w:color w:val="000000" w:themeColor="text1"/>
          <w:kern w:val="0"/>
          <w:sz w:val="32"/>
          <w:szCs w:val="32"/>
          <w:lang w:bidi="ar"/>
          <w14:textFill>
            <w14:solidFill>
              <w14:schemeClr w14:val="tx1"/>
            </w14:solidFill>
          </w14:textFill>
        </w:rPr>
        <w:t>席</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承保公司应设立独立的业务管理部门，配备充足的专业从业人员，其中建筑类专业人员不少于3人，负责潜在缺陷保险业务的全过程集中管理、规范运作。</w:t>
      </w:r>
    </w:p>
    <w:p w14:paraId="500E61F3">
      <w:pPr>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b/>
          <w:bCs/>
          <w:color w:val="000000" w:themeColor="text1"/>
          <w:sz w:val="32"/>
          <w:szCs w:val="32"/>
          <w14:textFill>
            <w14:solidFill>
              <w14:schemeClr w14:val="tx1"/>
            </w14:solidFill>
          </w14:textFill>
        </w:rPr>
        <w:t>第二十五条</w:t>
      </w:r>
      <w:r>
        <w:rPr>
          <w:rFonts w:hint="eastAsia" w:ascii="仿宋_GB2312" w:eastAsia="仿宋_GB2312"/>
          <w:color w:val="000000" w:themeColor="text1"/>
          <w:sz w:val="32"/>
          <w:szCs w:val="32"/>
          <w14:textFill>
            <w14:solidFill>
              <w14:schemeClr w14:val="tx1"/>
            </w14:solidFill>
          </w14:textFill>
        </w:rPr>
        <w:t xml:space="preserve"> 承保潜在缺陷保险的保险机构应当具备注册资本金充裕、综合偿付能力充足、风险管理能力强、承保理赔服务优质等条件，有一定的潜在缺陷保险承保经验，信用良好。潜在缺陷保险条款要依法依规经国家金融监管总局批准或备案。</w:t>
      </w:r>
    </w:p>
    <w:p w14:paraId="1E837933">
      <w:pPr>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b/>
          <w:bCs/>
          <w:color w:val="000000" w:themeColor="text1"/>
          <w:sz w:val="32"/>
          <w:szCs w:val="32"/>
          <w14:textFill>
            <w14:solidFill>
              <w14:schemeClr w14:val="tx1"/>
            </w14:solidFill>
          </w14:textFill>
        </w:rPr>
        <w:t>第二十六条</w:t>
      </w:r>
      <w:r>
        <w:rPr>
          <w:rFonts w:hint="eastAsia" w:ascii="仿宋_GB2312" w:eastAsia="仿宋_GB2312"/>
          <w:color w:val="000000" w:themeColor="text1"/>
          <w:sz w:val="32"/>
          <w:szCs w:val="32"/>
          <w14:textFill>
            <w14:solidFill>
              <w14:schemeClr w14:val="tx1"/>
            </w14:solidFill>
          </w14:textFill>
        </w:rPr>
        <w:t xml:space="preserve"> 保险机构应负责搭建投保、理赔、服务、管理等全流程线上服务系统，执行具体项目、技术支持、售后服务等日常运营管理工作。严禁恶意竞争（如：</w:t>
      </w:r>
      <w:r>
        <w:rPr>
          <w:rFonts w:ascii="仿宋_GB2312" w:eastAsia="仿宋_GB2312"/>
          <w:color w:val="000000" w:themeColor="text1"/>
          <w:sz w:val="32"/>
          <w:szCs w:val="32"/>
          <w14:textFill>
            <w14:solidFill>
              <w14:schemeClr w14:val="tx1"/>
            </w14:solidFill>
          </w14:textFill>
        </w:rPr>
        <w:t>私自降低费率、</w:t>
      </w:r>
      <w:r>
        <w:rPr>
          <w:rFonts w:hint="eastAsia" w:ascii="仿宋_GB2312" w:eastAsia="仿宋_GB2312"/>
          <w:color w:val="000000" w:themeColor="text1"/>
          <w:sz w:val="32"/>
          <w:szCs w:val="32"/>
          <w14:textFill>
            <w14:solidFill>
              <w14:schemeClr w14:val="tx1"/>
            </w14:solidFill>
          </w14:textFill>
        </w:rPr>
        <w:t>缩减</w:t>
      </w:r>
      <w:r>
        <w:rPr>
          <w:rFonts w:ascii="仿宋_GB2312" w:eastAsia="仿宋_GB2312"/>
          <w:color w:val="000000" w:themeColor="text1"/>
          <w:sz w:val="32"/>
          <w:szCs w:val="32"/>
          <w14:textFill>
            <w14:solidFill>
              <w14:schemeClr w14:val="tx1"/>
            </w14:solidFill>
          </w14:textFill>
        </w:rPr>
        <w:t>保险责任、</w:t>
      </w:r>
      <w:r>
        <w:rPr>
          <w:rFonts w:hint="eastAsia" w:ascii="仿宋_GB2312" w:eastAsia="仿宋_GB2312"/>
          <w:color w:val="000000" w:themeColor="text1"/>
          <w:sz w:val="32"/>
          <w:szCs w:val="32"/>
          <w14:textFill>
            <w14:solidFill>
              <w14:schemeClr w14:val="tx1"/>
            </w14:solidFill>
          </w14:textFill>
        </w:rPr>
        <w:t>提</w:t>
      </w:r>
      <w:r>
        <w:rPr>
          <w:rFonts w:ascii="仿宋_GB2312" w:eastAsia="仿宋_GB2312"/>
          <w:color w:val="000000" w:themeColor="text1"/>
          <w:sz w:val="32"/>
          <w:szCs w:val="32"/>
          <w14:textFill>
            <w14:solidFill>
              <w14:schemeClr w14:val="tx1"/>
            </w14:solidFill>
          </w14:textFill>
        </w:rPr>
        <w:t>高免赔等</w:t>
      </w:r>
      <w:r>
        <w:rPr>
          <w:rFonts w:hint="eastAsia" w:ascii="仿宋_GB2312" w:eastAsia="仿宋_GB2312"/>
          <w:color w:val="000000" w:themeColor="text1"/>
          <w:sz w:val="32"/>
          <w:szCs w:val="32"/>
          <w14:textFill>
            <w14:solidFill>
              <w14:schemeClr w14:val="tx1"/>
            </w14:solidFill>
          </w14:textFill>
        </w:rPr>
        <w:t>）损害投、被保人利益，对出现违规承保或因承保理赔服务质量造成投保人有效投诉的，取消其首席或承保此项保险资格。</w:t>
      </w:r>
    </w:p>
    <w:p w14:paraId="3547C6AA">
      <w:pPr>
        <w:spacing w:line="600" w:lineRule="exact"/>
        <w:jc w:val="cente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第八章 法律责任</w:t>
      </w:r>
    </w:p>
    <w:p w14:paraId="7A482F1C">
      <w:pPr>
        <w:spacing w:line="600" w:lineRule="exact"/>
        <w:rPr>
          <w:rFonts w:ascii="仿宋_GB2312" w:eastAsia="仿宋_GB2312"/>
          <w:color w:val="000000" w:themeColor="text1"/>
          <w:sz w:val="32"/>
          <w:szCs w:val="32"/>
          <w14:textFill>
            <w14:solidFill>
              <w14:schemeClr w14:val="tx1"/>
            </w14:solidFill>
          </w14:textFill>
        </w:rPr>
      </w:pPr>
      <w:r>
        <w:rPr>
          <w:rFonts w:hint="eastAsia" w:ascii="仿宋_GB2312" w:eastAsia="仿宋_GB2312"/>
          <w:b/>
          <w:bCs/>
          <w:color w:val="000000" w:themeColor="text1"/>
          <w:sz w:val="32"/>
          <w:szCs w:val="32"/>
          <w14:textFill>
            <w14:solidFill>
              <w14:schemeClr w14:val="tx1"/>
            </w14:solidFill>
          </w14:textFill>
        </w:rPr>
        <w:t xml:space="preserve">    第二十七条 </w:t>
      </w:r>
      <w:r>
        <w:rPr>
          <w:rFonts w:hint="eastAsia" w:ascii="仿宋_GB2312" w:eastAsia="仿宋_GB2312"/>
          <w:color w:val="000000" w:themeColor="text1"/>
          <w:sz w:val="32"/>
          <w:szCs w:val="32"/>
          <w14:textFill>
            <w14:solidFill>
              <w14:schemeClr w14:val="tx1"/>
            </w14:solidFill>
          </w14:textFill>
        </w:rPr>
        <w:t>按照法律法规或合同约定应由建设、勘察、设计、施工、监理、建筑材料等相关责任单位承担的法律责任，并不因建设单位投保潜在缺陷保险而免责。</w:t>
      </w:r>
    </w:p>
    <w:p w14:paraId="2027942E">
      <w:pPr>
        <w:spacing w:line="600" w:lineRule="exact"/>
        <w:jc w:val="cente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第九章 附则</w:t>
      </w:r>
    </w:p>
    <w:p w14:paraId="5DD5F06D">
      <w:pPr>
        <w:spacing w:line="600" w:lineRule="exact"/>
        <w:ind w:firstLine="643" w:firstLineChars="200"/>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第二十八</w:t>
      </w:r>
      <w:r>
        <w:rPr>
          <w:rFonts w:ascii="仿宋_GB2312" w:eastAsia="仿宋_GB2312"/>
          <w:b/>
          <w:color w:val="000000" w:themeColor="text1"/>
          <w:sz w:val="32"/>
          <w:szCs w:val="32"/>
          <w14:textFill>
            <w14:solidFill>
              <w14:schemeClr w14:val="tx1"/>
            </w14:solidFill>
          </w14:textFill>
        </w:rPr>
        <w:t>条</w:t>
      </w:r>
      <w:r>
        <w:rPr>
          <w:rFonts w:hint="eastAsia" w:ascii="仿宋_GB2312" w:eastAsia="仿宋_GB2312"/>
          <w:b/>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保险公司对保险合同约定的赔偿责任履行赔偿义务后，有权依法对负有质量缺陷责任的相关单位行使代位请求赔偿权利，建设单位及相关责任单位应予以配合。</w:t>
      </w:r>
    </w:p>
    <w:p w14:paraId="321E2189">
      <w:pPr>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kern w:val="0"/>
          <w:sz w:val="32"/>
          <w:szCs w:val="32"/>
          <w:lang w:bidi="ar"/>
          <w14:textFill>
            <w14:solidFill>
              <w14:schemeClr w14:val="tx1"/>
            </w14:solidFill>
          </w14:textFill>
        </w:rPr>
        <w:t>第二</w:t>
      </w:r>
      <w:r>
        <w:rPr>
          <w:rFonts w:ascii="仿宋_GB2312" w:hAnsi="仿宋_GB2312" w:eastAsia="仿宋_GB2312" w:cs="仿宋_GB2312"/>
          <w:b/>
          <w:color w:val="000000" w:themeColor="text1"/>
          <w:kern w:val="0"/>
          <w:sz w:val="32"/>
          <w:szCs w:val="32"/>
          <w:lang w:bidi="ar"/>
          <w14:textFill>
            <w14:solidFill>
              <w14:schemeClr w14:val="tx1"/>
            </w14:solidFill>
          </w14:textFill>
        </w:rPr>
        <w:t>十</w:t>
      </w:r>
      <w:r>
        <w:rPr>
          <w:rFonts w:hint="eastAsia" w:ascii="仿宋_GB2312" w:hAnsi="仿宋_GB2312" w:eastAsia="仿宋_GB2312" w:cs="仿宋_GB2312"/>
          <w:b/>
          <w:color w:val="000000" w:themeColor="text1"/>
          <w:kern w:val="0"/>
          <w:sz w:val="32"/>
          <w:szCs w:val="32"/>
          <w:lang w:bidi="ar"/>
          <w14:textFill>
            <w14:solidFill>
              <w14:schemeClr w14:val="tx1"/>
            </w14:solidFill>
          </w14:textFill>
        </w:rPr>
        <w:t>九</w:t>
      </w:r>
      <w:r>
        <w:rPr>
          <w:rFonts w:ascii="仿宋_GB2312" w:hAnsi="仿宋_GB2312" w:eastAsia="仿宋_GB2312" w:cs="仿宋_GB2312"/>
          <w:b/>
          <w:color w:val="000000" w:themeColor="text1"/>
          <w:kern w:val="0"/>
          <w:sz w:val="32"/>
          <w:szCs w:val="32"/>
          <w:lang w:bidi="ar"/>
          <w14:textFill>
            <w14:solidFill>
              <w14:schemeClr w14:val="tx1"/>
            </w14:solidFill>
          </w14:textFill>
        </w:rPr>
        <w:t>条</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 xml:space="preserve"> 各级</w:t>
      </w:r>
      <w:r>
        <w:rPr>
          <w:rFonts w:hint="eastAsia" w:ascii="仿宋_GB2312" w:eastAsia="仿宋_GB2312"/>
          <w:color w:val="000000" w:themeColor="text1"/>
          <w:sz w:val="32"/>
          <w:szCs w:val="32"/>
          <w14:textFill>
            <w14:solidFill>
              <w14:schemeClr w14:val="tx1"/>
            </w14:solidFill>
          </w14:textFill>
        </w:rPr>
        <w:t>建设工程主管部门、保险机构等相关单位应当加强潜在缺陷保险政策的指导和服务。</w:t>
      </w:r>
    </w:p>
    <w:p w14:paraId="07C887F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eastAsia="仿宋_GB2312"/>
          <w:b/>
          <w:bCs/>
          <w:color w:val="000000" w:themeColor="text1"/>
          <w:sz w:val="32"/>
          <w:szCs w:val="32"/>
          <w14:textFill>
            <w14:solidFill>
              <w14:schemeClr w14:val="tx1"/>
            </w14:solidFill>
          </w14:textFill>
        </w:rPr>
        <w:t>第三十条</w:t>
      </w:r>
      <w:r>
        <w:rPr>
          <w:rFonts w:hint="eastAsia" w:ascii="仿宋_GB2312" w:eastAsia="仿宋_GB2312"/>
          <w:color w:val="000000" w:themeColor="text1"/>
          <w:sz w:val="32"/>
          <w:szCs w:val="32"/>
          <w14:textFill>
            <w14:solidFill>
              <w14:schemeClr w14:val="tx1"/>
            </w14:solidFill>
          </w14:textFill>
        </w:rPr>
        <w:t xml:space="preserve"> 本办法2026年</w:t>
      </w:r>
      <w:r>
        <w:rPr>
          <w:rFonts w:hint="eastAsia" w:ascii="宋体" w:hAnsi="宋体" w:eastAsia="宋体" w:cs="宋体"/>
          <w:color w:val="000000" w:themeColor="text1"/>
          <w:sz w:val="32"/>
          <w:szCs w:val="32"/>
          <w:lang w:val="en-US" w:eastAsia="zh-CN"/>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日起施行。</w:t>
      </w:r>
      <w:r>
        <w:rPr>
          <w:rFonts w:hint="eastAsia" w:ascii="仿宋_GB2312" w:hAnsi="仿宋_GB2312" w:eastAsia="仿宋_GB2312" w:cs="仿宋_GB2312"/>
          <w:kern w:val="0"/>
          <w:sz w:val="32"/>
          <w:szCs w:val="32"/>
          <w:lang w:val="en-US" w:eastAsia="zh-CN" w:bidi="ar"/>
        </w:rPr>
        <w:t xml:space="preserve">     </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4F8B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E7A6A">
                          <w:pPr>
                            <w:pStyle w:val="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A4E7A6A">
                    <w:pPr>
                      <w:pStyle w:val="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0D43B0"/>
    <w:rsid w:val="3186049E"/>
    <w:rsid w:val="39A85AB8"/>
    <w:rsid w:val="409011AD"/>
    <w:rsid w:val="4161197C"/>
    <w:rsid w:val="585175C5"/>
    <w:rsid w:val="71E91A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spacing w:line="360" w:lineRule="auto"/>
      <w:ind w:left="0" w:firstLine="0" w:firstLineChars="0"/>
      <w:outlineLvl w:val="1"/>
    </w:pPr>
    <w:rPr>
      <w:rFonts w:ascii="宋体" w:hAnsi="宋体" w:eastAsia="宋体"/>
      <w:b/>
      <w:bCs/>
      <w:sz w:val="28"/>
      <w:szCs w:val="28"/>
      <w:lang w:eastAsia="en-US"/>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sz w:val="56"/>
      <w:szCs w:val="56"/>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6165</Words>
  <Characters>6257</Characters>
  <Lines>0</Lines>
  <Paragraphs>0</Paragraphs>
  <TotalTime>54</TotalTime>
  <ScaleCrop>false</ScaleCrop>
  <LinksUpToDate>false</LinksUpToDate>
  <CharactersWithSpaces>6345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2022-01-10T03:17:00Z</dcterms:created>
  <dc:creator>Administrator</dc:creator>
  <cp:lastModifiedBy>小小</cp:lastModifiedBy>
  <dcterms:modified xsi:type="dcterms:W3CDTF">2026-08-12T09:59:04Z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C34F59D9FB6A4606A2EAE0342B00CD51</vt:lpwstr>
  </property>
  <property fmtid="{D5CDD505-2E9C-101B-9397-08002B2CF9AE}" pid="4" name="KSOTemplateDocerSaveRecord">
    <vt:lpwstr>eyJoZGlkIjoiYTQzM2ExYTg4YjkwNjlkZTNlNmY2YmU4M2Y5NDdlZDQiLCJ1c2VySWQiOiIyMzMzNTU0ODEifQ==</vt:lpwstr>
  </property>
</Properties>
</file>